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DEA5" w14:textId="77777777" w:rsidR="0087035D" w:rsidRPr="00D4571A" w:rsidRDefault="0087035D" w:rsidP="0015439F">
      <w:pPr>
        <w:spacing w:line="276" w:lineRule="auto"/>
      </w:pPr>
    </w:p>
    <w:p w14:paraId="4A043CB2" w14:textId="7513C904" w:rsidR="0087035D" w:rsidRPr="00D4571A" w:rsidRDefault="00603787" w:rsidP="0015439F">
      <w:pPr>
        <w:pStyle w:val="Nagwek1"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w w:val="105"/>
          <w:sz w:val="24"/>
          <w:szCs w:val="24"/>
        </w:rPr>
        <w:t>U</w:t>
      </w:r>
      <w:r w:rsidR="00C80047" w:rsidRPr="00D4571A">
        <w:rPr>
          <w:rFonts w:ascii="Times New Roman" w:hAnsi="Times New Roman" w:cs="Times New Roman"/>
          <w:w w:val="105"/>
          <w:sz w:val="24"/>
          <w:szCs w:val="24"/>
        </w:rPr>
        <w:t xml:space="preserve">świadomiona </w:t>
      </w:r>
      <w:r w:rsidR="0087035D" w:rsidRPr="00D4571A">
        <w:rPr>
          <w:rFonts w:ascii="Times New Roman" w:hAnsi="Times New Roman" w:cs="Times New Roman"/>
          <w:w w:val="105"/>
          <w:sz w:val="24"/>
          <w:szCs w:val="24"/>
        </w:rPr>
        <w:t>zgoda</w:t>
      </w:r>
      <w:r w:rsidR="0087035D" w:rsidRPr="00D4571A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87035D" w:rsidRPr="00D4571A">
        <w:rPr>
          <w:rFonts w:ascii="Times New Roman" w:hAnsi="Times New Roman" w:cs="Times New Roman"/>
          <w:w w:val="105"/>
          <w:sz w:val="24"/>
          <w:szCs w:val="24"/>
        </w:rPr>
        <w:t>na</w:t>
      </w:r>
      <w:r w:rsidR="0087035D" w:rsidRPr="00D4571A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podanie doszklistkowe </w:t>
      </w:r>
      <w:r w:rsidR="0087035D" w:rsidRPr="00D4571A">
        <w:rPr>
          <w:rFonts w:ascii="Times New Roman" w:hAnsi="Times New Roman" w:cs="Times New Roman"/>
          <w:w w:val="105"/>
          <w:sz w:val="24"/>
          <w:szCs w:val="24"/>
        </w:rPr>
        <w:t>leku o</w:t>
      </w:r>
      <w:r w:rsidR="0087035D" w:rsidRPr="00D4571A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87035D" w:rsidRPr="00D4571A">
        <w:rPr>
          <w:rFonts w:ascii="Times New Roman" w:hAnsi="Times New Roman" w:cs="Times New Roman"/>
          <w:w w:val="105"/>
          <w:sz w:val="24"/>
          <w:szCs w:val="24"/>
        </w:rPr>
        <w:t>nazwie</w:t>
      </w:r>
      <w:r w:rsidR="0087035D" w:rsidRPr="00D4571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8B1B74" w:rsidRPr="00D4571A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EYLEA </w:t>
      </w:r>
      <w:r w:rsidR="0087035D" w:rsidRPr="00D4571A">
        <w:rPr>
          <w:rFonts w:ascii="Times New Roman" w:hAnsi="Times New Roman" w:cs="Times New Roman"/>
          <w:spacing w:val="3"/>
          <w:w w:val="105"/>
          <w:sz w:val="24"/>
          <w:szCs w:val="24"/>
        </w:rPr>
        <w:t>(</w:t>
      </w:r>
      <w:r w:rsidR="008B1B74" w:rsidRPr="00D4571A">
        <w:rPr>
          <w:rFonts w:ascii="Times New Roman" w:hAnsi="Times New Roman" w:cs="Times New Roman"/>
          <w:spacing w:val="3"/>
          <w:w w:val="105"/>
          <w:sz w:val="24"/>
          <w:szCs w:val="24"/>
        </w:rPr>
        <w:t>aflibercept</w:t>
      </w:r>
      <w:r w:rsidR="0087035D" w:rsidRPr="00D4571A">
        <w:rPr>
          <w:rFonts w:ascii="Times New Roman" w:hAnsi="Times New Roman" w:cs="Times New Roman"/>
          <w:spacing w:val="3"/>
          <w:w w:val="105"/>
          <w:sz w:val="24"/>
          <w:szCs w:val="24"/>
        </w:rPr>
        <w:t>)</w:t>
      </w:r>
    </w:p>
    <w:p w14:paraId="15F6D9A1" w14:textId="77777777" w:rsidR="00315F27" w:rsidRPr="00D4571A" w:rsidRDefault="00315F27" w:rsidP="0015439F">
      <w:pPr>
        <w:spacing w:before="93" w:line="276" w:lineRule="auto"/>
        <w:ind w:right="6682"/>
        <w:rPr>
          <w:b/>
          <w:bCs/>
          <w:spacing w:val="-2"/>
        </w:rPr>
      </w:pPr>
    </w:p>
    <w:p w14:paraId="5D6FD43D" w14:textId="3F118F86" w:rsidR="00315F27" w:rsidRPr="00D4571A" w:rsidRDefault="00315F27" w:rsidP="0015439F">
      <w:pPr>
        <w:pStyle w:val="Nagwek2"/>
        <w:spacing w:line="276" w:lineRule="auto"/>
        <w:ind w:left="0"/>
        <w:jc w:val="left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  <w:r w:rsidRPr="00D4571A">
        <w:rPr>
          <w:rFonts w:ascii="Times New Roman" w:hAnsi="Times New Roman" w:cs="Times New Roman"/>
          <w:spacing w:val="-2"/>
          <w:sz w:val="24"/>
          <w:szCs w:val="24"/>
        </w:rPr>
        <w:t xml:space="preserve">Imię i nazwisko </w:t>
      </w:r>
      <w:r w:rsidRPr="00D4571A">
        <w:rPr>
          <w:rFonts w:ascii="Times New Roman" w:hAnsi="Times New Roman" w:cs="Times New Roman"/>
          <w:sz w:val="24"/>
          <w:szCs w:val="24"/>
          <w:u w:val="single" w:color="151515"/>
        </w:rPr>
        <w:tab/>
        <w:t>__________________________________________________</w:t>
      </w:r>
    </w:p>
    <w:p w14:paraId="6538FB69" w14:textId="0216C5E8" w:rsidR="0087035D" w:rsidRPr="00D4571A" w:rsidRDefault="0087035D" w:rsidP="0015439F">
      <w:pPr>
        <w:pStyle w:val="Nagwek2"/>
        <w:spacing w:line="276" w:lineRule="auto"/>
        <w:ind w:left="0"/>
        <w:jc w:val="left"/>
        <w:rPr>
          <w:rFonts w:ascii="Times New Roman" w:hAnsi="Times New Roman" w:cs="Times New Roman"/>
          <w:spacing w:val="-6"/>
          <w:sz w:val="24"/>
          <w:szCs w:val="24"/>
        </w:rPr>
      </w:pPr>
      <w:r w:rsidRPr="00D4571A">
        <w:rPr>
          <w:rFonts w:ascii="Times New Roman" w:hAnsi="Times New Roman" w:cs="Times New Roman"/>
          <w:spacing w:val="-2"/>
          <w:sz w:val="24"/>
          <w:szCs w:val="24"/>
        </w:rPr>
        <w:t>PESEL:</w:t>
      </w:r>
      <w:r w:rsidRPr="00D4571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315F27" w:rsidRPr="00D4571A">
        <w:rPr>
          <w:rFonts w:ascii="Times New Roman" w:hAnsi="Times New Roman" w:cs="Times New Roman"/>
          <w:sz w:val="24"/>
          <w:szCs w:val="24"/>
          <w:u w:val="single" w:color="151515"/>
        </w:rPr>
        <w:tab/>
        <w:t>________________________________________________________</w:t>
      </w:r>
    </w:p>
    <w:p w14:paraId="2DE29CFA" w14:textId="77777777" w:rsidR="00315F27" w:rsidRPr="00D4571A" w:rsidRDefault="00315F27" w:rsidP="0015439F">
      <w:pPr>
        <w:tabs>
          <w:tab w:val="left" w:pos="4093"/>
          <w:tab w:val="left" w:pos="8077"/>
        </w:tabs>
        <w:spacing w:before="266" w:line="276" w:lineRule="auto"/>
        <w:rPr>
          <w:b/>
        </w:rPr>
      </w:pPr>
      <w:r w:rsidRPr="00D4571A">
        <w:rPr>
          <w:b/>
        </w:rPr>
        <w:t xml:space="preserve">Oko: </w:t>
      </w:r>
      <w:r w:rsidRPr="00D4571A">
        <w:rPr>
          <w:b/>
          <w:u w:val="single" w:color="151515"/>
        </w:rPr>
        <w:tab/>
      </w:r>
      <w:r w:rsidRPr="00D4571A">
        <w:rPr>
          <w:b/>
          <w:spacing w:val="-7"/>
        </w:rPr>
        <w:t xml:space="preserve"> </w:t>
      </w:r>
      <w:r w:rsidRPr="00D4571A">
        <w:rPr>
          <w:b/>
        </w:rPr>
        <w:t>(podpis</w:t>
      </w:r>
      <w:r w:rsidRPr="00D4571A">
        <w:rPr>
          <w:b/>
          <w:spacing w:val="9"/>
        </w:rPr>
        <w:t xml:space="preserve"> </w:t>
      </w:r>
      <w:r w:rsidRPr="00D4571A">
        <w:rPr>
          <w:b/>
        </w:rPr>
        <w:t>lekarza).</w:t>
      </w:r>
      <w:r w:rsidRPr="00D4571A">
        <w:rPr>
          <w:b/>
          <w:u w:val="single" w:color="151515"/>
        </w:rPr>
        <w:tab/>
      </w:r>
    </w:p>
    <w:p w14:paraId="7AC453DF" w14:textId="77777777" w:rsidR="0087035D" w:rsidRPr="00D4571A" w:rsidRDefault="0087035D" w:rsidP="0015439F">
      <w:pPr>
        <w:spacing w:line="276" w:lineRule="auto"/>
      </w:pPr>
    </w:p>
    <w:p w14:paraId="7897F5AB" w14:textId="1E079D92" w:rsidR="00856928" w:rsidRPr="00D4571A" w:rsidRDefault="008B1B74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>Aflibercept (EYLEA)</w:t>
      </w:r>
    </w:p>
    <w:p w14:paraId="6AEB668B" w14:textId="00E44975" w:rsidR="005B0373" w:rsidRPr="00D4571A" w:rsidRDefault="00000000" w:rsidP="0015439F">
      <w:pPr>
        <w:spacing w:line="276" w:lineRule="auto"/>
      </w:pPr>
      <w:r w:rsidRPr="00D4571A">
        <w:t xml:space="preserve">Lek </w:t>
      </w:r>
      <w:r w:rsidR="008B1B74" w:rsidRPr="00D4571A">
        <w:t xml:space="preserve">Eylea </w:t>
      </w:r>
      <w:r w:rsidR="00FA45AB" w:rsidRPr="00D4571A">
        <w:t>(</w:t>
      </w:r>
      <w:r w:rsidR="008B1B74" w:rsidRPr="00D4571A">
        <w:t>aflibercept</w:t>
      </w:r>
      <w:r w:rsidR="00FA45AB" w:rsidRPr="00D4571A">
        <w:t xml:space="preserve">) </w:t>
      </w:r>
      <w:r w:rsidR="005B0373" w:rsidRPr="00D4571A">
        <w:t xml:space="preserve">blokuje </w:t>
      </w:r>
      <w:r w:rsidR="00D4571A" w:rsidRPr="00D4571A">
        <w:t>aktywność</w:t>
      </w:r>
      <w:r w:rsidR="005B0373" w:rsidRPr="00D4571A">
        <w:t xml:space="preserve">́ grupy </w:t>
      </w:r>
      <w:r w:rsidR="00D4571A" w:rsidRPr="00D4571A">
        <w:t>czynników</w:t>
      </w:r>
      <w:r w:rsidR="005B0373" w:rsidRPr="00D4571A">
        <w:t xml:space="preserve"> znanych jako czynnik wzrostu </w:t>
      </w:r>
      <w:r w:rsidR="00693511" w:rsidRPr="00D4571A">
        <w:t>śródbłonka</w:t>
      </w:r>
      <w:r w:rsidR="005B0373" w:rsidRPr="00D4571A">
        <w:t xml:space="preserve"> naczyniowego A (ang. </w:t>
      </w:r>
      <w:r w:rsidR="005B0373" w:rsidRPr="00D4571A">
        <w:rPr>
          <w:i/>
          <w:iCs/>
        </w:rPr>
        <w:t xml:space="preserve">Vascular Endothelial Growth Factor </w:t>
      </w:r>
      <w:r w:rsidR="005B0373" w:rsidRPr="00D4571A">
        <w:t xml:space="preserve">A, VEGF-A) oraz </w:t>
      </w:r>
      <w:r w:rsidR="00D4571A" w:rsidRPr="00D4571A">
        <w:t>łożyskowy</w:t>
      </w:r>
      <w:r w:rsidR="005B0373" w:rsidRPr="00D4571A">
        <w:t xml:space="preserve"> czynnik wzrostu (ang. </w:t>
      </w:r>
      <w:r w:rsidR="005B0373" w:rsidRPr="00D4571A">
        <w:rPr>
          <w:i/>
          <w:iCs/>
        </w:rPr>
        <w:t>Placental Growth Factor</w:t>
      </w:r>
      <w:r w:rsidR="005B0373" w:rsidRPr="00D4571A">
        <w:t xml:space="preserve">, PlGF), </w:t>
      </w:r>
      <w:r w:rsidR="00D4571A" w:rsidRPr="00D4571A">
        <w:t>które</w:t>
      </w:r>
      <w:r w:rsidR="005B0373" w:rsidRPr="00D4571A">
        <w:t xml:space="preserve"> w nadmiarze </w:t>
      </w:r>
      <w:r w:rsidR="00D4571A" w:rsidRPr="00D4571A">
        <w:t>wywołuj</w:t>
      </w:r>
      <w:r w:rsidR="00693511">
        <w:t>ą</w:t>
      </w:r>
      <w:r w:rsidR="005B0373" w:rsidRPr="00D4571A">
        <w:t xml:space="preserve"> nieprawidłowe powstawanie nowych </w:t>
      </w:r>
      <w:r w:rsidR="00D4571A" w:rsidRPr="00D4571A">
        <w:t>naczyń</w:t>
      </w:r>
      <w:r w:rsidR="005B0373" w:rsidRPr="00D4571A">
        <w:t xml:space="preserve"> </w:t>
      </w:r>
      <w:r w:rsidR="00D4571A" w:rsidRPr="00D4571A">
        <w:t>krwionośnych</w:t>
      </w:r>
      <w:r w:rsidR="005B0373" w:rsidRPr="00D4571A">
        <w:t xml:space="preserve"> w oku. Te nowe naczynia </w:t>
      </w:r>
      <w:r w:rsidR="00D4571A" w:rsidRPr="00D4571A">
        <w:t>krwionośne</w:t>
      </w:r>
      <w:r w:rsidR="005B0373" w:rsidRPr="00D4571A">
        <w:t xml:space="preserve"> </w:t>
      </w:r>
      <w:r w:rsidR="00D4571A" w:rsidRPr="00D4571A">
        <w:t>mogą</w:t>
      </w:r>
      <w:r w:rsidR="005B0373" w:rsidRPr="00D4571A">
        <w:t xml:space="preserve"> </w:t>
      </w:r>
      <w:r w:rsidR="00693511" w:rsidRPr="00D4571A">
        <w:t>powodowa</w:t>
      </w:r>
      <w:r w:rsidR="00693511">
        <w:t>ć</w:t>
      </w:r>
      <w:r w:rsidR="005B0373" w:rsidRPr="00D4571A">
        <w:t xml:space="preserve"> wyciek </w:t>
      </w:r>
      <w:r w:rsidR="00D4571A" w:rsidRPr="00D4571A">
        <w:t>składników</w:t>
      </w:r>
      <w:r w:rsidR="005B0373" w:rsidRPr="00D4571A">
        <w:t xml:space="preserve"> krwi do oka i ewentualne uszkodzenie tkanek odpowiedzialnych za widzenie. </w:t>
      </w:r>
    </w:p>
    <w:p w14:paraId="63C9CA45" w14:textId="1FB923B6" w:rsidR="005B0373" w:rsidRPr="00D4571A" w:rsidRDefault="005B0373" w:rsidP="0015439F">
      <w:pPr>
        <w:pStyle w:val="NormalnyWeb"/>
        <w:spacing w:line="276" w:lineRule="auto"/>
      </w:pPr>
      <w:r w:rsidRPr="00D4571A">
        <w:t xml:space="preserve">Wykazano, </w:t>
      </w:r>
      <w:r w:rsidR="00693511" w:rsidRPr="00D4571A">
        <w:t>że</w:t>
      </w:r>
      <w:r w:rsidRPr="00D4571A">
        <w:t xml:space="preserve"> lek Eylea zatrzymuje wzrost nowych nieprawidłowych </w:t>
      </w:r>
      <w:r w:rsidR="00D4571A" w:rsidRPr="00D4571A">
        <w:t>naczyń</w:t>
      </w:r>
      <w:r w:rsidRPr="00D4571A">
        <w:t xml:space="preserve"> krwionośnych w oku, z których często wycieka płyn lub które krwawią. Lek Eylea może pomóc w stabilizacji widzenia, a w wielu przypadkach może ją zahamować. </w:t>
      </w:r>
    </w:p>
    <w:p w14:paraId="21DF2D3A" w14:textId="77777777" w:rsidR="00856928" w:rsidRPr="00D4571A" w:rsidRDefault="00000000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Wskazania do stosowania </w:t>
      </w:r>
    </w:p>
    <w:p w14:paraId="7CD8ECE9" w14:textId="48E8A2E5" w:rsidR="00530F5F" w:rsidRPr="00D4571A" w:rsidRDefault="00530F5F" w:rsidP="0015439F">
      <w:pPr>
        <w:pStyle w:val="NormalnyWeb"/>
        <w:numPr>
          <w:ilvl w:val="0"/>
          <w:numId w:val="16"/>
        </w:numPr>
        <w:spacing w:line="276" w:lineRule="auto"/>
      </w:pPr>
      <w:r w:rsidRPr="00D4571A">
        <w:t xml:space="preserve">neowaskularna (wysiękowa) postać zwyrodnienia plamki żółtej związanego z wiekiem (ang. </w:t>
      </w:r>
      <w:r w:rsidRPr="00D4571A">
        <w:rPr>
          <w:i/>
          <w:iCs/>
        </w:rPr>
        <w:t>Age- related Macular Degeneration</w:t>
      </w:r>
      <w:r w:rsidRPr="00D4571A">
        <w:t xml:space="preserve">, AMD) (wysiękowa postać AMD), </w:t>
      </w:r>
    </w:p>
    <w:p w14:paraId="2905AC51" w14:textId="7CD4C5DA" w:rsidR="00530F5F" w:rsidRPr="00693511" w:rsidRDefault="00530F5F" w:rsidP="0015439F">
      <w:pPr>
        <w:pStyle w:val="NormalnyWeb"/>
        <w:numPr>
          <w:ilvl w:val="0"/>
          <w:numId w:val="16"/>
        </w:numPr>
        <w:spacing w:line="276" w:lineRule="auto"/>
        <w:rPr>
          <w:lang w:val="en-US"/>
        </w:rPr>
      </w:pPr>
      <w:r w:rsidRPr="00D4571A">
        <w:t xml:space="preserve">obrzęk plamki wtórny do niedrożności naczyń żylnych siatkówki (RVO) (jej gałęzi BRVO </w:t>
      </w:r>
      <w:r w:rsidR="00693511">
        <w:t>[</w:t>
      </w:r>
      <w:r w:rsidRPr="00D4571A">
        <w:t xml:space="preserve">ang. </w:t>
      </w:r>
      <w:r w:rsidRPr="00693511">
        <w:rPr>
          <w:i/>
          <w:iCs/>
          <w:lang w:val="en-US"/>
        </w:rPr>
        <w:t>Branch Retinal Vein Occlusion</w:t>
      </w:r>
      <w:r w:rsidR="00693511" w:rsidRPr="00693511">
        <w:rPr>
          <w:lang w:val="en-US"/>
        </w:rPr>
        <w:t>]</w:t>
      </w:r>
      <w:r w:rsidRPr="00693511">
        <w:rPr>
          <w:lang w:val="en-US"/>
        </w:rPr>
        <w:t xml:space="preserve"> lub żyły środkowej CRVO </w:t>
      </w:r>
      <w:r w:rsidR="00693511" w:rsidRPr="00693511">
        <w:rPr>
          <w:lang w:val="en-US"/>
        </w:rPr>
        <w:t>[</w:t>
      </w:r>
      <w:r w:rsidRPr="00693511">
        <w:rPr>
          <w:lang w:val="en-US"/>
        </w:rPr>
        <w:t xml:space="preserve">ang. </w:t>
      </w:r>
      <w:r w:rsidRPr="00693511">
        <w:rPr>
          <w:i/>
          <w:iCs/>
          <w:lang w:val="en-US"/>
        </w:rPr>
        <w:t>Central Retinal Vein Occlusion</w:t>
      </w:r>
      <w:r w:rsidR="00693511" w:rsidRPr="00693511">
        <w:rPr>
          <w:i/>
          <w:iCs/>
          <w:lang w:val="en-US"/>
        </w:rPr>
        <w:t>]</w:t>
      </w:r>
      <w:r w:rsidRPr="00693511">
        <w:rPr>
          <w:i/>
          <w:iCs/>
          <w:lang w:val="en-US"/>
        </w:rPr>
        <w:t xml:space="preserve">), </w:t>
      </w:r>
    </w:p>
    <w:p w14:paraId="59B07B10" w14:textId="441010D7" w:rsidR="00530F5F" w:rsidRPr="00D4571A" w:rsidRDefault="00530F5F" w:rsidP="0015439F">
      <w:pPr>
        <w:pStyle w:val="NormalnyWeb"/>
        <w:numPr>
          <w:ilvl w:val="0"/>
          <w:numId w:val="16"/>
        </w:numPr>
        <w:spacing w:line="276" w:lineRule="auto"/>
      </w:pPr>
      <w:r w:rsidRPr="00D4571A">
        <w:t xml:space="preserve">cukrzycowy obrzęk plamki żółtej (DME, ang. </w:t>
      </w:r>
      <w:r w:rsidRPr="00D4571A">
        <w:rPr>
          <w:i/>
          <w:iCs/>
        </w:rPr>
        <w:t>Diabetic Macular Oedema</w:t>
      </w:r>
      <w:r w:rsidRPr="00D4571A">
        <w:t xml:space="preserve">), </w:t>
      </w:r>
    </w:p>
    <w:p w14:paraId="2F40E4A4" w14:textId="3089E2FE" w:rsidR="00530F5F" w:rsidRPr="00D4571A" w:rsidRDefault="00530F5F" w:rsidP="0015439F">
      <w:pPr>
        <w:pStyle w:val="NormalnyWeb"/>
        <w:numPr>
          <w:ilvl w:val="0"/>
          <w:numId w:val="16"/>
        </w:numPr>
        <w:spacing w:line="276" w:lineRule="auto"/>
      </w:pPr>
      <w:r w:rsidRPr="00D4571A">
        <w:t xml:space="preserve">neowaskularyzacjaa podsiatkówkowa (CNV, ang. </w:t>
      </w:r>
      <w:r w:rsidRPr="00D4571A">
        <w:rPr>
          <w:i/>
          <w:iCs/>
        </w:rPr>
        <w:t>Choroidal Neovascularisation</w:t>
      </w:r>
      <w:r w:rsidR="00693511">
        <w:rPr>
          <w:i/>
          <w:iCs/>
        </w:rPr>
        <w:t xml:space="preserve">, MNV – Macular Neovascularisation </w:t>
      </w:r>
      <w:r w:rsidRPr="00D4571A">
        <w:t xml:space="preserve">) wtórna do krótkowzroczności. </w:t>
      </w:r>
    </w:p>
    <w:p w14:paraId="17B8F710" w14:textId="4238EEE9" w:rsidR="00856928" w:rsidRPr="00D4571A" w:rsidRDefault="00000000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>Kiedy pacjent nie powinien otrzymać leku</w:t>
      </w:r>
      <w:r w:rsidR="00FF4E90" w:rsidRPr="00D4571A">
        <w:rPr>
          <w:b/>
          <w:bCs/>
        </w:rPr>
        <w:t>:</w:t>
      </w:r>
      <w:r w:rsidRPr="00D4571A">
        <w:rPr>
          <w:b/>
          <w:bCs/>
        </w:rPr>
        <w:t xml:space="preserve"> </w:t>
      </w:r>
    </w:p>
    <w:p w14:paraId="4863EC3F" w14:textId="4225D3F6" w:rsidR="002225A5" w:rsidRPr="00D4571A" w:rsidRDefault="002225A5" w:rsidP="0015439F">
      <w:pPr>
        <w:pStyle w:val="NormalnyWeb"/>
        <w:numPr>
          <w:ilvl w:val="0"/>
          <w:numId w:val="11"/>
        </w:numPr>
        <w:spacing w:line="276" w:lineRule="auto"/>
      </w:pPr>
      <w:r w:rsidRPr="00D4571A">
        <w:t xml:space="preserve">jeśli ma uczulenie na aflibercept lub którykolwiek z pozostałych składników tego leku, </w:t>
      </w:r>
    </w:p>
    <w:p w14:paraId="3C6B006F" w14:textId="4A3DA5B1" w:rsidR="002225A5" w:rsidRPr="00D4571A" w:rsidRDefault="002225A5" w:rsidP="0015439F">
      <w:pPr>
        <w:pStyle w:val="NormalnyWeb"/>
        <w:numPr>
          <w:ilvl w:val="0"/>
          <w:numId w:val="11"/>
        </w:numPr>
        <w:spacing w:line="276" w:lineRule="auto"/>
      </w:pPr>
      <w:r w:rsidRPr="00D4571A">
        <w:t xml:space="preserve">jeśli ma czynne zakażenie lub podejrzenie zakażenia gałki ocznej lub jej okolicy (zakażenie śródgałkowe lub okołogałkowe) </w:t>
      </w:r>
    </w:p>
    <w:p w14:paraId="6FFC6A1A" w14:textId="51DBDE56" w:rsidR="002225A5" w:rsidRPr="00D4571A" w:rsidRDefault="002225A5" w:rsidP="0015439F">
      <w:pPr>
        <w:pStyle w:val="NormalnyWeb"/>
        <w:numPr>
          <w:ilvl w:val="0"/>
          <w:numId w:val="11"/>
        </w:numPr>
        <w:spacing w:line="276" w:lineRule="auto"/>
      </w:pPr>
      <w:r w:rsidRPr="00D4571A">
        <w:t xml:space="preserve">jeśli ma ciężki stan zapalny oka (odznaczający się bólem lub zaczerwienieniem) </w:t>
      </w:r>
    </w:p>
    <w:p w14:paraId="4A271FD1" w14:textId="2A559288" w:rsidR="00856928" w:rsidRPr="00D4571A" w:rsidRDefault="00FF4E90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>Należy zachować ostrożn</w:t>
      </w:r>
      <w:r w:rsidR="00207345" w:rsidRPr="00D4571A">
        <w:rPr>
          <w:b/>
          <w:bCs/>
        </w:rPr>
        <w:t xml:space="preserve">ość i przedyskutować </w:t>
      </w:r>
      <w:r w:rsidRPr="00D4571A">
        <w:rPr>
          <w:b/>
          <w:bCs/>
        </w:rPr>
        <w:t xml:space="preserve">z lekarzem: </w:t>
      </w:r>
    </w:p>
    <w:p w14:paraId="4ECF8384" w14:textId="77777777" w:rsidR="00693511" w:rsidRDefault="002225A5" w:rsidP="0015439F">
      <w:pPr>
        <w:pStyle w:val="NormalnyWeb"/>
        <w:numPr>
          <w:ilvl w:val="0"/>
          <w:numId w:val="12"/>
        </w:numPr>
        <w:spacing w:line="276" w:lineRule="auto"/>
      </w:pPr>
      <w:r w:rsidRPr="00D4571A">
        <w:t>jeśli pacjent ma jaskrę (choroba oka spowodowana zazwyczaj wysokim ciśnieniem w oku).</w:t>
      </w:r>
    </w:p>
    <w:p w14:paraId="06AFCFD8" w14:textId="70B79B58" w:rsidR="002225A5" w:rsidRPr="00D4571A" w:rsidRDefault="002225A5" w:rsidP="0015439F">
      <w:pPr>
        <w:pStyle w:val="NormalnyWeb"/>
        <w:numPr>
          <w:ilvl w:val="0"/>
          <w:numId w:val="12"/>
        </w:numPr>
        <w:spacing w:line="276" w:lineRule="auto"/>
      </w:pPr>
      <w:r w:rsidRPr="00D4571A">
        <w:t xml:space="preserve">jeśli u pacjenta doszło do zakażenia wewnątrz oka lub innych powikłań z towarzyszeniem bólu oka, nasilonego zaczerwienienie oka, pogorszenia widzenia i zwiększającej się nadwrażliwości na światło. </w:t>
      </w:r>
    </w:p>
    <w:p w14:paraId="21C539A2" w14:textId="0A69AD1D" w:rsidR="002225A5" w:rsidRPr="00D4571A" w:rsidRDefault="00693511" w:rsidP="0015439F">
      <w:pPr>
        <w:pStyle w:val="NormalnyWeb"/>
        <w:numPr>
          <w:ilvl w:val="0"/>
          <w:numId w:val="13"/>
        </w:numPr>
        <w:spacing w:line="276" w:lineRule="auto"/>
      </w:pPr>
      <w:r>
        <w:lastRenderedPageBreak/>
        <w:t>j</w:t>
      </w:r>
      <w:r w:rsidR="002225A5" w:rsidRPr="00D4571A">
        <w:t>eśli lekarz stwierdzi u pacjenta występowanie czynników ryzyka pewnych chorób oczu (przedarcie nabłonka barwnikowego siatkówki</w:t>
      </w:r>
      <w:r w:rsidR="00530F5F" w:rsidRPr="00D4571A">
        <w:t>, odwarstwienie siatkówki, przedarcie siatkówki</w:t>
      </w:r>
      <w:r w:rsidR="002225A5" w:rsidRPr="00D4571A">
        <w:t xml:space="preserve">), przy których lek Eylea będzie stosowany z zachowaniem ostrożności </w:t>
      </w:r>
    </w:p>
    <w:p w14:paraId="4AB1B6B2" w14:textId="77777777" w:rsidR="00693511" w:rsidRDefault="002225A5" w:rsidP="0015439F">
      <w:pPr>
        <w:pStyle w:val="NormalnyWeb"/>
        <w:numPr>
          <w:ilvl w:val="0"/>
          <w:numId w:val="6"/>
        </w:numPr>
        <w:spacing w:line="276" w:lineRule="auto"/>
      </w:pPr>
      <w:r w:rsidRPr="00693511">
        <w:t xml:space="preserve">jeśli pacjent zauważa u siebie występowanie samoistnych błysków światła lub nagłe zwiększenie się wielkości i liczby mętów przemieszczających się w polu widzenia </w:t>
      </w:r>
    </w:p>
    <w:p w14:paraId="745846B4" w14:textId="3FE18B81" w:rsidR="00856928" w:rsidRPr="00693511" w:rsidRDefault="00000000" w:rsidP="0015439F">
      <w:pPr>
        <w:pStyle w:val="NormalnyWeb"/>
        <w:numPr>
          <w:ilvl w:val="0"/>
          <w:numId w:val="6"/>
        </w:numPr>
        <w:spacing w:line="276" w:lineRule="auto"/>
      </w:pPr>
      <w:r w:rsidRPr="00693511">
        <w:t xml:space="preserve">jeśli </w:t>
      </w:r>
      <w:r w:rsidR="00873D0C" w:rsidRPr="00693511">
        <w:t xml:space="preserve">w ciągu ostatnich 4 tyg. </w:t>
      </w:r>
      <w:r w:rsidRPr="00693511">
        <w:t>pacjent przeszedł operację oka lub jeśli planuje się operacj</w:t>
      </w:r>
      <w:r w:rsidR="00873D0C" w:rsidRPr="00693511">
        <w:t>ę</w:t>
      </w:r>
      <w:r w:rsidRPr="00693511">
        <w:t xml:space="preserve"> oka w </w:t>
      </w:r>
      <w:r w:rsidR="00873D0C" w:rsidRPr="00693511">
        <w:t xml:space="preserve">nadchodzących 4 </w:t>
      </w:r>
      <w:r w:rsidRPr="00693511">
        <w:t xml:space="preserve">tyg. </w:t>
      </w:r>
    </w:p>
    <w:p w14:paraId="367801D6" w14:textId="77777777" w:rsidR="00417D1C" w:rsidRPr="00D4571A" w:rsidRDefault="00417D1C" w:rsidP="0015439F">
      <w:pPr>
        <w:pStyle w:val="NormalnyWeb"/>
        <w:spacing w:line="276" w:lineRule="auto"/>
      </w:pPr>
      <w:r w:rsidRPr="00D4571A">
        <w:t xml:space="preserve">Ogólnoustrojowe stosowanie inhibitorów VEGF, substancji podobnych do zawartych w leku Eylea, wiąże się z potencjalnym ryzykiem tworzenia się zakrzepów blokujących naczynia krwionośne (tętnicze epizody zakrzepowo-zatorowe), które mogą prowadzić do zawału serca lub udaru mózgu. Istnieje teoretyczne ryzyko wystąpienia takiego epizodu po iniekcji leku Eylea do oka. </w:t>
      </w:r>
    </w:p>
    <w:p w14:paraId="39879566" w14:textId="47821710" w:rsidR="00417D1C" w:rsidRPr="00D4571A" w:rsidRDefault="00417D1C" w:rsidP="0015439F">
      <w:pPr>
        <w:pStyle w:val="NormalnyWeb"/>
        <w:spacing w:line="276" w:lineRule="auto"/>
      </w:pPr>
      <w:r w:rsidRPr="00D4571A">
        <w:t>Istnieją ograniczone dane dotyczące bezpieczeństwa w leczeniu pacjentów z CRVO, BRVO, DME i CNV wtórną do krótkowzroczności, którzy mieli udar lub mini udar (przejściowy atak nied</w:t>
      </w:r>
      <w:r w:rsidR="00693511">
        <w:t>ok</w:t>
      </w:r>
      <w:r w:rsidRPr="00D4571A">
        <w:t xml:space="preserve">rwienny) lub zawał serca w ciągu ostatnich 6 miesięcy. Jeśli którykolwiek z wymienionych incydentów odnosi się do pacjenta, lek Eylea będzie stosowany z zachowaniem ostrożności. </w:t>
      </w:r>
    </w:p>
    <w:p w14:paraId="1A5A8AED" w14:textId="77777777" w:rsidR="002225A5" w:rsidRPr="00D4571A" w:rsidRDefault="002225A5" w:rsidP="0015439F">
      <w:pPr>
        <w:spacing w:before="17" w:line="276" w:lineRule="auto"/>
        <w:ind w:right="601"/>
        <w:rPr>
          <w:w w:val="105"/>
        </w:rPr>
      </w:pPr>
    </w:p>
    <w:p w14:paraId="0FD8B671" w14:textId="4626F9FE" w:rsidR="00FF2BC2" w:rsidRPr="00D4571A" w:rsidRDefault="0054532C" w:rsidP="0015439F">
      <w:pPr>
        <w:spacing w:before="17" w:line="276" w:lineRule="auto"/>
        <w:ind w:right="601"/>
        <w:rPr>
          <w:w w:val="105"/>
        </w:rPr>
      </w:pPr>
      <w:r w:rsidRPr="00D4571A">
        <w:rPr>
          <w:w w:val="105"/>
        </w:rPr>
        <w:t>Alternatywą</w:t>
      </w:r>
      <w:r w:rsidR="00FF2BC2" w:rsidRPr="00D4571A">
        <w:rPr>
          <w:w w:val="105"/>
        </w:rPr>
        <w:t xml:space="preserve"> stosowania </w:t>
      </w:r>
      <w:r w:rsidR="002225A5" w:rsidRPr="00D4571A">
        <w:rPr>
          <w:w w:val="105"/>
        </w:rPr>
        <w:t xml:space="preserve">leku o nazwie EYLEA </w:t>
      </w:r>
      <w:r w:rsidR="00FF2BC2" w:rsidRPr="00D4571A">
        <w:rPr>
          <w:w w:val="105"/>
        </w:rPr>
        <w:t xml:space="preserve">jest </w:t>
      </w:r>
      <w:r w:rsidRPr="00D4571A">
        <w:rPr>
          <w:w w:val="105"/>
        </w:rPr>
        <w:t>podawanie</w:t>
      </w:r>
      <w:r w:rsidR="00FF2BC2" w:rsidRPr="00D4571A">
        <w:rPr>
          <w:w w:val="105"/>
        </w:rPr>
        <w:t xml:space="preserve"> innych preparatów z grupy leków określanych jako anty</w:t>
      </w:r>
      <w:r w:rsidRPr="00D4571A">
        <w:rPr>
          <w:w w:val="105"/>
        </w:rPr>
        <w:t>-</w:t>
      </w:r>
      <w:r w:rsidR="00FF2BC2" w:rsidRPr="00D4571A">
        <w:rPr>
          <w:w w:val="105"/>
        </w:rPr>
        <w:t>VEGF (hamujących działanie</w:t>
      </w:r>
      <w:r w:rsidR="00FF2BC2" w:rsidRPr="00D4571A">
        <w:rPr>
          <w:spacing w:val="-6"/>
          <w:w w:val="105"/>
        </w:rPr>
        <w:t xml:space="preserve"> </w:t>
      </w:r>
      <w:r w:rsidR="00FF2BC2" w:rsidRPr="00D4571A">
        <w:rPr>
          <w:w w:val="105"/>
        </w:rPr>
        <w:t>śródbłonkowego</w:t>
      </w:r>
      <w:r w:rsidR="00FF2BC2" w:rsidRPr="00D4571A">
        <w:rPr>
          <w:spacing w:val="-19"/>
          <w:w w:val="105"/>
        </w:rPr>
        <w:t xml:space="preserve"> </w:t>
      </w:r>
      <w:r w:rsidR="00FF2BC2" w:rsidRPr="00D4571A">
        <w:rPr>
          <w:w w:val="105"/>
        </w:rPr>
        <w:t>czynnika wzrostu naczyń):</w:t>
      </w:r>
    </w:p>
    <w:p w14:paraId="151F6516" w14:textId="0164DCCC" w:rsidR="00FF2BC2" w:rsidRPr="00D4571A" w:rsidRDefault="00FF2BC2" w:rsidP="0015439F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w w:val="105"/>
          <w:sz w:val="24"/>
          <w:szCs w:val="24"/>
        </w:rPr>
        <w:t>ranibizumab</w:t>
      </w:r>
      <w:r w:rsidRPr="00D4571A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D4571A">
        <w:rPr>
          <w:rFonts w:ascii="Times New Roman" w:hAnsi="Times New Roman" w:cs="Times New Roman"/>
          <w:w w:val="105"/>
          <w:sz w:val="24"/>
          <w:szCs w:val="24"/>
        </w:rPr>
        <w:t>(Lucentis</w:t>
      </w:r>
      <w:r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)</w:t>
      </w:r>
    </w:p>
    <w:p w14:paraId="7075C96B" w14:textId="484CDAEA" w:rsidR="00FF2BC2" w:rsidRPr="00D4571A" w:rsidRDefault="00FF2BC2" w:rsidP="0015439F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brolucyzumab (Beovu)</w:t>
      </w:r>
    </w:p>
    <w:p w14:paraId="47772816" w14:textId="61C629DF" w:rsidR="002225A5" w:rsidRPr="00D4571A" w:rsidRDefault="002225A5" w:rsidP="0015439F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w w:val="105"/>
          <w:sz w:val="24"/>
          <w:szCs w:val="24"/>
        </w:rPr>
        <w:t>farycymab (Vabysmo)</w:t>
      </w:r>
    </w:p>
    <w:p w14:paraId="21002B34" w14:textId="15F2553F" w:rsidR="00FF2BC2" w:rsidRPr="00D4571A" w:rsidRDefault="00FF2BC2" w:rsidP="0015439F">
      <w:pPr>
        <w:pStyle w:val="Akapitzlist"/>
        <w:numPr>
          <w:ilvl w:val="0"/>
          <w:numId w:val="2"/>
        </w:numPr>
        <w:tabs>
          <w:tab w:val="left" w:pos="1224"/>
          <w:tab w:val="left" w:pos="1225"/>
        </w:tabs>
        <w:spacing w:before="25"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bewa</w:t>
      </w:r>
      <w:r w:rsidR="0054532C"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c</w:t>
      </w:r>
      <w:r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yzumab (Av</w:t>
      </w:r>
      <w:r w:rsidR="0054532C"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Pr="00D4571A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stin) – poza zarejestrowanymi wskazaniami medycznymi. </w:t>
      </w:r>
    </w:p>
    <w:p w14:paraId="55895041" w14:textId="77777777" w:rsidR="00FF2BC2" w:rsidRPr="00D4571A" w:rsidRDefault="00FF2BC2" w:rsidP="0015439F">
      <w:pPr>
        <w:spacing w:line="276" w:lineRule="auto"/>
      </w:pPr>
    </w:p>
    <w:p w14:paraId="6BFB0ACA" w14:textId="3E5861CB" w:rsidR="00E328B4" w:rsidRPr="00D4571A" w:rsidRDefault="002225A5" w:rsidP="0015439F">
      <w:pPr>
        <w:spacing w:line="276" w:lineRule="auto"/>
      </w:pPr>
      <w:r w:rsidRPr="00D4571A">
        <w:t>Aflibercept</w:t>
      </w:r>
      <w:r w:rsidR="00E328B4" w:rsidRPr="00D4571A">
        <w:t xml:space="preserve"> nie </w:t>
      </w:r>
      <w:r w:rsidRPr="00D4571A">
        <w:t>był badany u kobiet w ciąży</w:t>
      </w:r>
      <w:r w:rsidR="00E328B4" w:rsidRPr="00D4571A">
        <w:t xml:space="preserve">, dlatego nie </w:t>
      </w:r>
      <w:r w:rsidRPr="00D4571A">
        <w:t xml:space="preserve">należy </w:t>
      </w:r>
      <w:r w:rsidR="00E328B4" w:rsidRPr="00D4571A">
        <w:t xml:space="preserve">go </w:t>
      </w:r>
      <w:r w:rsidRPr="00D4571A">
        <w:t xml:space="preserve">stosować okresie </w:t>
      </w:r>
      <w:r w:rsidR="0054532C" w:rsidRPr="00D4571A">
        <w:t>ciąży</w:t>
      </w:r>
      <w:r w:rsidRPr="00D4571A">
        <w:t xml:space="preserve"> </w:t>
      </w:r>
      <w:r w:rsidR="00E328B4" w:rsidRPr="00D4571A">
        <w:t xml:space="preserve">ani </w:t>
      </w:r>
      <w:r w:rsidRPr="00D4571A">
        <w:t>karmienia piersią</w:t>
      </w:r>
      <w:r w:rsidR="00E328B4" w:rsidRPr="00D4571A">
        <w:t xml:space="preserve">. </w:t>
      </w:r>
      <w:r w:rsidRPr="00D4571A">
        <w:t xml:space="preserve">Kobiety, które mogą zajść w ciążę, muszą stosować skuteczną metodę kontroli urodzeń podczas leczenia i co najmniej </w:t>
      </w:r>
      <w:r w:rsidR="00E328B4" w:rsidRPr="00D4571A">
        <w:t>przez 3</w:t>
      </w:r>
      <w:r w:rsidRPr="00D4571A">
        <w:t xml:space="preserve"> miesiące po zakończeniu leczenia. </w:t>
      </w:r>
    </w:p>
    <w:p w14:paraId="79AD61C9" w14:textId="77777777" w:rsidR="00E328B4" w:rsidRPr="00D4571A" w:rsidRDefault="00E328B4" w:rsidP="0015439F">
      <w:pPr>
        <w:spacing w:line="276" w:lineRule="auto"/>
      </w:pPr>
    </w:p>
    <w:p w14:paraId="0B1FA134" w14:textId="735501D0" w:rsidR="00E328B4" w:rsidRPr="00D4571A" w:rsidRDefault="00000000" w:rsidP="0015439F">
      <w:pPr>
        <w:spacing w:line="276" w:lineRule="auto"/>
      </w:pPr>
      <w:r w:rsidRPr="00D4571A">
        <w:t xml:space="preserve">Po wstrzyknięciu leku </w:t>
      </w:r>
      <w:r w:rsidR="00E328B4" w:rsidRPr="00D4571A">
        <w:t xml:space="preserve">często </w:t>
      </w:r>
      <w:r w:rsidRPr="00D4571A">
        <w:t>wyst</w:t>
      </w:r>
      <w:r w:rsidR="00E328B4" w:rsidRPr="00D4571A">
        <w:t xml:space="preserve">ępują </w:t>
      </w:r>
      <w:r w:rsidRPr="00D4571A">
        <w:t>przejściowe zaburzenia widzenia</w:t>
      </w:r>
      <w:r w:rsidR="00E328B4" w:rsidRPr="00D4571A">
        <w:t>, dlatego n</w:t>
      </w:r>
      <w:r w:rsidRPr="00D4571A">
        <w:t xml:space="preserve">ie należy prowadzić </w:t>
      </w:r>
      <w:r w:rsidR="00E328B4" w:rsidRPr="00D4571A">
        <w:t>pojazdów</w:t>
      </w:r>
      <w:r w:rsidRPr="00D4571A">
        <w:t xml:space="preserve"> ani obsługiwać </w:t>
      </w:r>
      <w:r w:rsidR="00E328B4" w:rsidRPr="00D4571A">
        <w:t xml:space="preserve">urządzeń </w:t>
      </w:r>
      <w:r w:rsidRPr="00D4571A">
        <w:t>m</w:t>
      </w:r>
      <w:r w:rsidR="00E328B4" w:rsidRPr="00D4571A">
        <w:t xml:space="preserve">echanicznych. </w:t>
      </w:r>
    </w:p>
    <w:p w14:paraId="297A3025" w14:textId="77777777" w:rsidR="00DA03A0" w:rsidRPr="00D4571A" w:rsidRDefault="00DA03A0" w:rsidP="0015439F">
      <w:pPr>
        <w:pStyle w:val="NormalnyWeb"/>
        <w:spacing w:line="276" w:lineRule="auto"/>
        <w:rPr>
          <w:b/>
          <w:bCs/>
        </w:rPr>
      </w:pPr>
      <w:r w:rsidRPr="00D4571A">
        <w:rPr>
          <w:b/>
          <w:bCs/>
        </w:rPr>
        <w:t xml:space="preserve">Podanie leku </w:t>
      </w:r>
    </w:p>
    <w:p w14:paraId="0D2109C4" w14:textId="7836F324" w:rsidR="0087035D" w:rsidRPr="00D4571A" w:rsidRDefault="002225A5" w:rsidP="0015439F">
      <w:pPr>
        <w:pStyle w:val="NormalnyWeb"/>
        <w:spacing w:line="276" w:lineRule="auto"/>
      </w:pPr>
      <w:r w:rsidRPr="00D4571A">
        <w:t xml:space="preserve">Lek Eylea </w:t>
      </w:r>
      <w:r w:rsidR="0087035D" w:rsidRPr="00D4571A">
        <w:t>jest podawany cienką igłą w postaci iniekcji do ciała szklistego</w:t>
      </w:r>
      <w:r w:rsidR="0087035D" w:rsidRPr="00D4571A">
        <w:rPr>
          <w:spacing w:val="31"/>
        </w:rPr>
        <w:t xml:space="preserve"> </w:t>
      </w:r>
      <w:r w:rsidR="0087035D" w:rsidRPr="00D4571A">
        <w:t>(przez twardówkę). Z</w:t>
      </w:r>
      <w:r w:rsidR="0087564F" w:rsidRPr="00D4571A">
        <w:t>a</w:t>
      </w:r>
      <w:r w:rsidR="0087035D" w:rsidRPr="00D4571A">
        <w:t>bieg ten odbywa się w warunkach</w:t>
      </w:r>
      <w:r w:rsidR="0087035D" w:rsidRPr="00D4571A">
        <w:rPr>
          <w:spacing w:val="80"/>
        </w:rPr>
        <w:t xml:space="preserve"> </w:t>
      </w:r>
      <w:r w:rsidR="0087035D" w:rsidRPr="00D4571A">
        <w:t>gabine</w:t>
      </w:r>
      <w:r w:rsidR="0087564F" w:rsidRPr="00D4571A">
        <w:t>tu</w:t>
      </w:r>
      <w:r w:rsidR="0087035D" w:rsidRPr="00D4571A">
        <w:rPr>
          <w:spacing w:val="77"/>
        </w:rPr>
        <w:t xml:space="preserve"> </w:t>
      </w:r>
      <w:r w:rsidR="0087035D" w:rsidRPr="00D4571A">
        <w:t>zabiegow</w:t>
      </w:r>
      <w:r w:rsidR="0087564F" w:rsidRPr="00D4571A">
        <w:t xml:space="preserve">ego, po chirurgicznej dezynfekcji </w:t>
      </w:r>
      <w:r w:rsidR="0054532C" w:rsidRPr="00D4571A">
        <w:t>rąk</w:t>
      </w:r>
      <w:r w:rsidR="0087564F" w:rsidRPr="00D4571A">
        <w:t xml:space="preserve">, z </w:t>
      </w:r>
      <w:r w:rsidR="0054532C" w:rsidRPr="00D4571A">
        <w:t>użyciem</w:t>
      </w:r>
      <w:r w:rsidR="0087564F" w:rsidRPr="00D4571A">
        <w:t xml:space="preserve"> jałowych </w:t>
      </w:r>
      <w:r w:rsidR="0054532C" w:rsidRPr="00D4571A">
        <w:t>rękawiczek</w:t>
      </w:r>
      <w:r w:rsidR="0087564F" w:rsidRPr="00D4571A">
        <w:t xml:space="preserve">, jałowego </w:t>
      </w:r>
      <w:r w:rsidR="0054532C" w:rsidRPr="00D4571A">
        <w:t>obłożenia</w:t>
      </w:r>
      <w:r w:rsidR="0087564F" w:rsidRPr="00D4571A">
        <w:t xml:space="preserve"> chirurgicznego i jałowej </w:t>
      </w:r>
      <w:r w:rsidR="0054532C" w:rsidRPr="00D4571A">
        <w:t>rozwórki</w:t>
      </w:r>
      <w:r w:rsidR="0087564F" w:rsidRPr="00D4571A">
        <w:t xml:space="preserve"> do powiek. Przed </w:t>
      </w:r>
      <w:r w:rsidR="0054532C" w:rsidRPr="00D4571A">
        <w:t>wstrzyknięciem</w:t>
      </w:r>
      <w:r w:rsidR="0087564F" w:rsidRPr="00D4571A">
        <w:t xml:space="preserve"> leku stosuje się znieczulenie i miejscowy </w:t>
      </w:r>
      <w:r w:rsidR="0054532C" w:rsidRPr="00D4571A">
        <w:t>środek</w:t>
      </w:r>
      <w:r w:rsidR="0087564F" w:rsidRPr="00D4571A">
        <w:t xml:space="preserve"> </w:t>
      </w:r>
      <w:r w:rsidR="0054532C" w:rsidRPr="00D4571A">
        <w:t>bakteriobójczy</w:t>
      </w:r>
      <w:r w:rsidR="0087564F" w:rsidRPr="00D4571A">
        <w:t xml:space="preserve"> / wirusobójczy / grzybobójczy o szerokim spektrum działania do dezynfekcji </w:t>
      </w:r>
      <w:r w:rsidR="0054532C" w:rsidRPr="00D4571A">
        <w:t>skóry</w:t>
      </w:r>
      <w:r w:rsidR="0087564F" w:rsidRPr="00D4571A">
        <w:t xml:space="preserve"> </w:t>
      </w:r>
      <w:r w:rsidR="0054532C" w:rsidRPr="00D4571A">
        <w:t>wokół</w:t>
      </w:r>
      <w:r w:rsidR="0087564F" w:rsidRPr="00D4571A">
        <w:t xml:space="preserve"> oka, powieki i powierzchni gałki ocznej. </w:t>
      </w:r>
      <w:r w:rsidR="0087035D" w:rsidRPr="00D4571A">
        <w:t>Podanie</w:t>
      </w:r>
      <w:r w:rsidR="0087035D" w:rsidRPr="00D4571A">
        <w:rPr>
          <w:spacing w:val="-4"/>
        </w:rPr>
        <w:t xml:space="preserve"> </w:t>
      </w:r>
      <w:r w:rsidR="0087035D" w:rsidRPr="00D4571A">
        <w:t>leku</w:t>
      </w:r>
      <w:r w:rsidR="0087035D" w:rsidRPr="00D4571A">
        <w:rPr>
          <w:spacing w:val="-6"/>
        </w:rPr>
        <w:t xml:space="preserve"> </w:t>
      </w:r>
      <w:r w:rsidR="0087035D" w:rsidRPr="00D4571A">
        <w:t>zazwyczaj nie</w:t>
      </w:r>
      <w:r w:rsidR="0087035D" w:rsidRPr="00D4571A">
        <w:rPr>
          <w:spacing w:val="-9"/>
        </w:rPr>
        <w:t xml:space="preserve"> </w:t>
      </w:r>
      <w:r w:rsidR="0087035D" w:rsidRPr="00D4571A">
        <w:t xml:space="preserve">jest </w:t>
      </w:r>
      <w:r w:rsidR="0087035D" w:rsidRPr="00D4571A">
        <w:rPr>
          <w:spacing w:val="-2"/>
        </w:rPr>
        <w:t>bolesne.</w:t>
      </w:r>
    </w:p>
    <w:p w14:paraId="29469CDD" w14:textId="77777777" w:rsidR="00C624C9" w:rsidRDefault="00C624C9" w:rsidP="0015439F">
      <w:pPr>
        <w:pStyle w:val="NormalnyWeb"/>
        <w:spacing w:line="276" w:lineRule="auto"/>
      </w:pPr>
    </w:p>
    <w:p w14:paraId="32CD973F" w14:textId="174410D6" w:rsidR="00417D1C" w:rsidRPr="00D4571A" w:rsidRDefault="00417D1C" w:rsidP="0015439F">
      <w:pPr>
        <w:pStyle w:val="NormalnyWeb"/>
        <w:spacing w:line="276" w:lineRule="auto"/>
      </w:pPr>
      <w:r w:rsidRPr="00D4571A">
        <w:lastRenderedPageBreak/>
        <w:t xml:space="preserve">Wysiękowa </w:t>
      </w:r>
      <w:r w:rsidR="00693511" w:rsidRPr="00D4571A">
        <w:t>postać</w:t>
      </w:r>
      <w:r w:rsidRPr="00D4571A">
        <w:t xml:space="preserve"> AMD</w:t>
      </w:r>
    </w:p>
    <w:p w14:paraId="48B5D374" w14:textId="2F7BB0CA" w:rsidR="00417D1C" w:rsidRPr="00D4571A" w:rsidRDefault="00000000" w:rsidP="0015439F">
      <w:pPr>
        <w:pStyle w:val="NormalnyWeb"/>
        <w:spacing w:line="276" w:lineRule="auto"/>
      </w:pPr>
      <w:r w:rsidRPr="00D4571A">
        <w:t xml:space="preserve">Zalecana dawka to </w:t>
      </w:r>
      <w:r w:rsidR="002225A5" w:rsidRPr="00D4571A">
        <w:t xml:space="preserve">2 mg afliberceptu (50 mikrolitrów), rozpoczynając od jednego wstrzyknięcia co 1 miesiąc przez 3 miesiące, a następnie jedno wstrzyknięcie co 2 miesiące. </w:t>
      </w:r>
      <w:r w:rsidR="00417D1C" w:rsidRPr="00D4571A">
        <w:t xml:space="preserve">Następnie lekarz zdecyduje, czy można utrzymać odstęp między kolejnymi wstrzyknięciami wynoszący </w:t>
      </w:r>
      <w:r w:rsidR="00693511">
        <w:t>2</w:t>
      </w:r>
      <w:r w:rsidR="00417D1C" w:rsidRPr="00D4571A">
        <w:t xml:space="preserve"> miesiące, czy też można go stopniowo wydłużać o 2 lub 4 tygodnie, jeśli stan pacjenta będzie stabilny. W przypadku pogorszenia stanu pacjenta odstępy między wstrzyknięciami mogą zostać skrócone. </w:t>
      </w:r>
    </w:p>
    <w:p w14:paraId="1199751E" w14:textId="1AC4F1BF" w:rsidR="00417D1C" w:rsidRPr="00C624C9" w:rsidRDefault="00417D1C" w:rsidP="0015439F">
      <w:pPr>
        <w:pStyle w:val="NormalnyWeb"/>
        <w:spacing w:line="276" w:lineRule="auto"/>
        <w:rPr>
          <w:i/>
          <w:iCs/>
          <w:lang w:val="en-US"/>
        </w:rPr>
      </w:pPr>
      <w:r w:rsidRPr="00D4571A">
        <w:t xml:space="preserve">Obrzęk plamki wtórny do niedrożności naczyń żylnych siatkówki (RVO) (jej gałęzi BRVO (ang. </w:t>
      </w:r>
      <w:r w:rsidRPr="00C624C9">
        <w:rPr>
          <w:i/>
          <w:iCs/>
          <w:lang w:val="en-US"/>
        </w:rPr>
        <w:t>Branch Retinal Vein Occlusion</w:t>
      </w:r>
      <w:r w:rsidRPr="00C624C9">
        <w:rPr>
          <w:lang w:val="en-US"/>
        </w:rPr>
        <w:t xml:space="preserve">) lub żyły środkowej CRVO (ang. </w:t>
      </w:r>
      <w:r w:rsidRPr="00C624C9">
        <w:rPr>
          <w:i/>
          <w:iCs/>
          <w:lang w:val="en-US"/>
        </w:rPr>
        <w:t>Central Retinal Vein Occlusion)</w:t>
      </w:r>
    </w:p>
    <w:p w14:paraId="206BF922" w14:textId="7466CB3A" w:rsidR="00417D1C" w:rsidRPr="00D4571A" w:rsidRDefault="00417D1C" w:rsidP="0015439F">
      <w:pPr>
        <w:pStyle w:val="NormalnyWeb"/>
        <w:spacing w:line="276" w:lineRule="auto"/>
      </w:pPr>
      <w:r w:rsidRPr="00D4571A">
        <w:t xml:space="preserve">Leczenie rozpocznie się serią comiesięcznych wstrzyknięć leku Eylea. Lekarz może podjąć decyzję o przerwaniu leczenia lekiem Eylea, jeśli pacjent nie odnosi korzyści z kontynuowania leczenia. Iniekcje będą kontynuowane w comiesięcznych odstępach, aż lekarz uzna, że stan pacjenta pozostaje stabilny. Mogą być potrzebne 3 lub więcej kolejne, comiesięczne iniekcje. Lekarz będzie monitorował </w:t>
      </w:r>
      <w:r w:rsidR="00693511">
        <w:t xml:space="preserve">stan oka i </w:t>
      </w:r>
      <w:r w:rsidRPr="00D4571A">
        <w:t xml:space="preserve">może kontynuować leczenie, stopniowo wydłużając odstęp między kolejnymi wstrzyknięciami, aż do uzyskania stabilizacji stanu pacjenta. Jeśli podczas otrzymywania leku w wydłużonych odstępach stan pacjenta pogorszy się, wówczas lekarz odpowiednio skraca odstęp między kolejnymi dawkami. </w:t>
      </w:r>
    </w:p>
    <w:p w14:paraId="472EB5EC" w14:textId="114F7DD7" w:rsidR="00417D1C" w:rsidRPr="00D4571A" w:rsidRDefault="00417D1C" w:rsidP="0015439F">
      <w:pPr>
        <w:pStyle w:val="NormalnyWeb"/>
        <w:spacing w:line="276" w:lineRule="auto"/>
      </w:pPr>
      <w:r w:rsidRPr="00D4571A">
        <w:t xml:space="preserve">Cukrzycowy obrzęk plamki żółtej (DME, ang. </w:t>
      </w:r>
      <w:r w:rsidRPr="00D4571A">
        <w:rPr>
          <w:i/>
          <w:iCs/>
        </w:rPr>
        <w:t>Diabetic Macular Oedema</w:t>
      </w:r>
      <w:r w:rsidRPr="00D4571A">
        <w:t xml:space="preserve">), </w:t>
      </w:r>
    </w:p>
    <w:p w14:paraId="00D95044" w14:textId="70ADFEE9" w:rsidR="00417D1C" w:rsidRPr="00D4571A" w:rsidRDefault="00417D1C" w:rsidP="0015439F">
      <w:pPr>
        <w:pStyle w:val="NormalnyWeb"/>
        <w:spacing w:line="276" w:lineRule="auto"/>
      </w:pPr>
      <w:r w:rsidRPr="00D4571A">
        <w:t xml:space="preserve">Pacjenci z DME są leczeni poprzez podanie jednego wstrzyknięcia na miesiąc w pierwszych 5 kolejnych dawkach, a następnie jednego wstrzyknięcia co 2 miesiące. Odstęp pomiędzy dawkami może pozostać dwumiesięczny lub być dostosowany do stanu zdrowia w zależności od wyniku badania przeprowadzonego przez lekarza. </w:t>
      </w:r>
    </w:p>
    <w:p w14:paraId="6605F726" w14:textId="247B57BB" w:rsidR="00417D1C" w:rsidRPr="00D4571A" w:rsidRDefault="00417D1C" w:rsidP="0015439F">
      <w:pPr>
        <w:pStyle w:val="NormalnyWeb"/>
        <w:spacing w:line="276" w:lineRule="auto"/>
      </w:pPr>
      <w:r w:rsidRPr="00D4571A">
        <w:t xml:space="preserve">Neowaskularyzacjaa podsiatkówkowa (CNV, ang. </w:t>
      </w:r>
      <w:r w:rsidRPr="00D4571A">
        <w:rPr>
          <w:i/>
          <w:iCs/>
        </w:rPr>
        <w:t>Choroidal Neovascularisation</w:t>
      </w:r>
      <w:r w:rsidRPr="00D4571A">
        <w:t xml:space="preserve">) wtórna do krótkowzroczności. </w:t>
      </w:r>
    </w:p>
    <w:p w14:paraId="21FEBB52" w14:textId="7FA2EC06" w:rsidR="00417D1C" w:rsidRPr="00D4571A" w:rsidRDefault="00417D1C" w:rsidP="0015439F">
      <w:pPr>
        <w:pStyle w:val="NormalnyWeb"/>
        <w:spacing w:line="276" w:lineRule="auto"/>
      </w:pPr>
      <w:r w:rsidRPr="00D4571A">
        <w:t xml:space="preserve">Pacjenci z CNV wtórną do krótkowzroczności są leczeni jednym wstrzyknięciem. Kolejne wstrzyknięcia będą podane tylko wtedy, jeśli na podstawie badań lekarz stwierdzi, że stan choroby nie uległ poprawie. Jeśli choroba ustąpiła i znów powróciła, lekarz może ponownie rozpocząć leczenie. </w:t>
      </w:r>
    </w:p>
    <w:p w14:paraId="37F3D478" w14:textId="77777777" w:rsidR="0054532C" w:rsidRPr="00D4571A" w:rsidRDefault="00013062" w:rsidP="0015439F">
      <w:pPr>
        <w:spacing w:line="276" w:lineRule="auto"/>
      </w:pPr>
      <w:r w:rsidRPr="00D4571A">
        <w:rPr>
          <w:b/>
          <w:bCs/>
        </w:rPr>
        <w:t>Działania niepożądane.</w:t>
      </w:r>
      <w:r w:rsidRPr="00D4571A">
        <w:t xml:space="preserve"> </w:t>
      </w:r>
    </w:p>
    <w:p w14:paraId="469E137A" w14:textId="77777777" w:rsidR="002225A5" w:rsidRPr="00D4571A" w:rsidRDefault="002225A5" w:rsidP="0015439F">
      <w:pPr>
        <w:pStyle w:val="NormalnyWeb"/>
        <w:spacing w:line="276" w:lineRule="auto"/>
      </w:pPr>
      <w:r w:rsidRPr="00D4571A">
        <w:t xml:space="preserve">Jak każdy lek, lek ten może powodować działania niepożądane, chociaż nie u każdego one wystąpią. </w:t>
      </w:r>
    </w:p>
    <w:p w14:paraId="5C15F5A0" w14:textId="77777777" w:rsidR="0015439F" w:rsidRPr="00D4571A" w:rsidRDefault="0015439F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Należy natychmiast poinformować lekarza (tel.: 533510255), jeśli w dniach po podaniu iniekcji: </w:t>
      </w:r>
    </w:p>
    <w:p w14:paraId="517CEE70" w14:textId="77777777" w:rsidR="0015439F" w:rsidRPr="00D4571A" w:rsidRDefault="0015439F" w:rsidP="0015439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sz w:val="24"/>
          <w:szCs w:val="24"/>
        </w:rPr>
        <w:t xml:space="preserve">dojdzie do nagłej utraty widzenia, </w:t>
      </w:r>
    </w:p>
    <w:p w14:paraId="40D42D6F" w14:textId="77777777" w:rsidR="0015439F" w:rsidRPr="00D4571A" w:rsidRDefault="0015439F" w:rsidP="0015439F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sz w:val="24"/>
          <w:szCs w:val="24"/>
        </w:rPr>
        <w:t xml:space="preserve">wystąpią objawy możliwego zakażenia lub zapalenia oka, takie jak narastające zaczerwienienie oka, nasilający się ból oka, pogarszanie się widzenia, coraz większa liczba małych punktów w polu widzenia, zwiększenie wrażliwości na światło. </w:t>
      </w:r>
    </w:p>
    <w:p w14:paraId="26DFC0A2" w14:textId="77777777" w:rsidR="0015439F" w:rsidRPr="00D4571A" w:rsidRDefault="0015439F" w:rsidP="0015439F">
      <w:pPr>
        <w:spacing w:line="276" w:lineRule="auto"/>
      </w:pPr>
    </w:p>
    <w:p w14:paraId="70EDE15D" w14:textId="77777777" w:rsidR="0015439F" w:rsidRPr="00D4571A" w:rsidRDefault="0015439F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lastRenderedPageBreak/>
        <w:t>Należy pamiętać, że bezpośrednio po podaniu iniekcji bardzo często pacjenci doświadczają zaczerwienienia (wylew krwi pod spojówką związany z wkłuciem), pieczenia, dyskomfortu, wrażenia obecności piasku pod powiekami, kłucia (związane z koniecznością wyjałowienia powierzchni oka przed podaniem zastrzyku) oraz pływających w polu widzenia ciemnych punktów (lek rozpływający się w ciele szklistym, zagęszczenia ciała szklistego związane z podawaniem leku, obecność pęcherzyków powietrza w igle).</w:t>
      </w:r>
    </w:p>
    <w:p w14:paraId="087361C2" w14:textId="77777777" w:rsidR="0015439F" w:rsidRDefault="0015439F" w:rsidP="0015439F">
      <w:pPr>
        <w:pStyle w:val="NormalnyWeb"/>
        <w:spacing w:line="276" w:lineRule="auto"/>
      </w:pPr>
    </w:p>
    <w:p w14:paraId="22E03F15" w14:textId="4D7A0A5F" w:rsidR="00417D1C" w:rsidRPr="00D4571A" w:rsidRDefault="00417D1C" w:rsidP="0015439F">
      <w:pPr>
        <w:pStyle w:val="NormalnyWeb"/>
        <w:spacing w:line="276" w:lineRule="auto"/>
      </w:pPr>
      <w:r w:rsidRPr="00D4571A">
        <w:t xml:space="preserve">Mogą wystąpić uogólnione </w:t>
      </w:r>
      <w:r w:rsidRPr="00D4571A">
        <w:rPr>
          <w:b/>
          <w:bCs/>
        </w:rPr>
        <w:t xml:space="preserve">reakcje alergiczne </w:t>
      </w:r>
      <w:r w:rsidRPr="00D4571A">
        <w:t xml:space="preserve">(nadwrażliwość). </w:t>
      </w:r>
      <w:r w:rsidRPr="00D4571A">
        <w:rPr>
          <w:b/>
          <w:bCs/>
        </w:rPr>
        <w:t xml:space="preserve">Mogą one być poważne i wymagać natychmiastowego skontaktowania się z lekarzem. </w:t>
      </w:r>
      <w:r w:rsidRPr="00D4571A">
        <w:t xml:space="preserve">Przy podawaniu leku Eylea mogą wystąpić pewne działania niepożądane, dotyczące oczu, które są związane z procedurą wstrzyknięcia. Niektóre z nich mogą być </w:t>
      </w:r>
      <w:r w:rsidRPr="00D4571A">
        <w:rPr>
          <w:b/>
          <w:bCs/>
        </w:rPr>
        <w:t xml:space="preserve">poważne </w:t>
      </w:r>
      <w:r w:rsidRPr="00D4571A">
        <w:t xml:space="preserve">i obejmować </w:t>
      </w:r>
      <w:r w:rsidRPr="00D4571A">
        <w:rPr>
          <w:b/>
          <w:bCs/>
        </w:rPr>
        <w:t xml:space="preserve">ślepotę, ciężkie zakażenie lub zapalenie wnętrza oka </w:t>
      </w:r>
      <w:r w:rsidRPr="00D4571A">
        <w:t xml:space="preserve">(zapalenie wnętrza gałki ocznej), </w:t>
      </w:r>
      <w:r w:rsidRPr="00D4571A">
        <w:rPr>
          <w:b/>
          <w:bCs/>
        </w:rPr>
        <w:t xml:space="preserve">oderwanie, przedarcie lub krwawienie światłoczułej warstwy w tylnej części oka </w:t>
      </w:r>
      <w:r w:rsidRPr="00D4571A">
        <w:t xml:space="preserve">(odwarstwienie lub przedarcie siatkówki), </w:t>
      </w:r>
      <w:r w:rsidRPr="00D4571A">
        <w:rPr>
          <w:b/>
          <w:bCs/>
        </w:rPr>
        <w:t xml:space="preserve">zmętnienie soczewki </w:t>
      </w:r>
      <w:r w:rsidRPr="00D4571A">
        <w:t xml:space="preserve">(zaćma), </w:t>
      </w:r>
      <w:r w:rsidRPr="00D4571A">
        <w:rPr>
          <w:b/>
          <w:bCs/>
        </w:rPr>
        <w:t xml:space="preserve">krwawienie w oku </w:t>
      </w:r>
      <w:r w:rsidRPr="00D4571A">
        <w:t xml:space="preserve">(krwotok do ciała szklistego), </w:t>
      </w:r>
      <w:r w:rsidRPr="00D4571A">
        <w:rPr>
          <w:b/>
          <w:bCs/>
        </w:rPr>
        <w:t xml:space="preserve">odłączenie się od siatkówki substancji przypominającej żel, znajdującej się wewnątrz oka </w:t>
      </w:r>
      <w:r w:rsidRPr="00D4571A">
        <w:t xml:space="preserve">(odwarstwienie ciała szklistego) oraz </w:t>
      </w:r>
      <w:r w:rsidRPr="00D4571A">
        <w:rPr>
          <w:b/>
          <w:bCs/>
        </w:rPr>
        <w:t>wzrost ciśnienia wewnątrz oka.</w:t>
      </w:r>
      <w:r w:rsidRPr="00D4571A">
        <w:t xml:space="preserve"> Te poważne działania niepożądane dotyczące oczu wystąpiły w badaniach klinicznych rzadziej niż 1 na 1900 iniekcji. </w:t>
      </w:r>
    </w:p>
    <w:p w14:paraId="0DD8ED39" w14:textId="77777777" w:rsidR="0015439F" w:rsidRPr="00D4571A" w:rsidRDefault="0015439F" w:rsidP="0015439F">
      <w:pPr>
        <w:pStyle w:val="NormalnyWeb"/>
        <w:spacing w:line="276" w:lineRule="auto"/>
      </w:pPr>
    </w:p>
    <w:p w14:paraId="5FBD1241" w14:textId="77777777" w:rsidR="00417D1C" w:rsidRPr="00D4571A" w:rsidRDefault="00417D1C" w:rsidP="0015439F">
      <w:pPr>
        <w:pStyle w:val="NormalnyWeb"/>
        <w:spacing w:line="276" w:lineRule="auto"/>
      </w:pPr>
      <w:r w:rsidRPr="00D4571A">
        <w:rPr>
          <w:b/>
          <w:bCs/>
        </w:rPr>
        <w:t xml:space="preserve">Wykaz działań niepożądanych </w:t>
      </w:r>
    </w:p>
    <w:p w14:paraId="4806B1EA" w14:textId="77777777" w:rsidR="0015439F" w:rsidRDefault="00417D1C" w:rsidP="0015439F">
      <w:pPr>
        <w:pStyle w:val="NormalnyWeb"/>
        <w:spacing w:line="276" w:lineRule="auto"/>
        <w:rPr>
          <w:i/>
          <w:iCs/>
        </w:rPr>
      </w:pPr>
      <w:r w:rsidRPr="00D4571A">
        <w:rPr>
          <w:b/>
          <w:bCs/>
        </w:rPr>
        <w:t xml:space="preserve">Bardzo częste działania niepożądane </w:t>
      </w:r>
      <w:r w:rsidRPr="00D4571A">
        <w:t>(</w:t>
      </w:r>
      <w:r w:rsidRPr="00D4571A">
        <w:rPr>
          <w:i/>
          <w:iCs/>
        </w:rPr>
        <w:t>mogą wystąpić częściej niż u 1 na 10 osób):</w:t>
      </w:r>
    </w:p>
    <w:p w14:paraId="66CED442" w14:textId="51C50882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pogorszenie wzroku</w:t>
      </w:r>
    </w:p>
    <w:p w14:paraId="572B2538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krwawienie w tylnej części oka (krwotok siatkówkowy)</w:t>
      </w:r>
    </w:p>
    <w:p w14:paraId="5F8CACA0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 xml:space="preserve">przekrwienie oka spowodowane krwawieniem z małych naczyń krwionośnych w zewnętrznych warstwach oka </w:t>
      </w:r>
    </w:p>
    <w:p w14:paraId="029541EB" w14:textId="0A1B976B" w:rsidR="00417D1C" w:rsidRPr="00D4571A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 xml:space="preserve">ból oka </w:t>
      </w:r>
    </w:p>
    <w:p w14:paraId="505E8ABF" w14:textId="77777777" w:rsidR="0015439F" w:rsidRPr="0015439F" w:rsidRDefault="00417D1C" w:rsidP="0015439F">
      <w:pPr>
        <w:pStyle w:val="NormalnyWeb"/>
        <w:spacing w:line="276" w:lineRule="auto"/>
        <w:ind w:left="360"/>
      </w:pPr>
      <w:r w:rsidRPr="00D4571A">
        <w:rPr>
          <w:b/>
          <w:bCs/>
        </w:rPr>
        <w:t xml:space="preserve">Częste działania niepożądane </w:t>
      </w:r>
      <w:r w:rsidRPr="00D4571A">
        <w:rPr>
          <w:i/>
          <w:iCs/>
        </w:rPr>
        <w:t>(mogą wystąpić nie częściej niż u 1 na 10 osób):</w:t>
      </w:r>
    </w:p>
    <w:p w14:paraId="1265FA27" w14:textId="02CB67EC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odwarstwienie lub przedarcie jednej z warstw w tylnej części oka objawiające się błyskami światła (przedarcie*/odwarstwienie nabłonka barwnikowego siatkówki, odwarstwienie/przedarcie siatkówki)</w:t>
      </w:r>
    </w:p>
    <w:p w14:paraId="0162E82E" w14:textId="36A5D194" w:rsidR="00417D1C" w:rsidRPr="00D4571A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zwyrodnienie siatkówki (powodujące zaburzenia wzroku)</w:t>
      </w:r>
    </w:p>
    <w:p w14:paraId="43395BB9" w14:textId="5AA830BF" w:rsidR="00417D1C" w:rsidRPr="00D4571A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 xml:space="preserve">krwawienie w oku (krwotok do ciała szklistego) </w:t>
      </w:r>
    </w:p>
    <w:p w14:paraId="75D0B54A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pewne formy zmętnienia soczewki (zaćma)</w:t>
      </w:r>
    </w:p>
    <w:p w14:paraId="17773B1B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uraz przedniej warstwy gałki ocznej (rogówki)</w:t>
      </w:r>
    </w:p>
    <w:p w14:paraId="185B8EED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wzrost ciśnienia w oku</w:t>
      </w:r>
    </w:p>
    <w:p w14:paraId="1258E3D8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widzenie ruchomych kropek (męty w ciele szklistym)</w:t>
      </w:r>
    </w:p>
    <w:p w14:paraId="1109EB7C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 xml:space="preserve">odłączenie się od siatkówki substancji przypominającej żel, znajdującej się wewnątrz oka (odwarstwienie ciała szklistego objawiające się błyskami światła oraz mętami w ciele szklistym) </w:t>
      </w:r>
    </w:p>
    <w:p w14:paraId="631915B5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lastRenderedPageBreak/>
        <w:t>uczucie obecności czegoś w oku</w:t>
      </w:r>
    </w:p>
    <w:p w14:paraId="49FA2E4E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zwiększone wytwarzanie łez</w:t>
      </w:r>
    </w:p>
    <w:p w14:paraId="1828A48D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spuchnięcie powieki</w:t>
      </w:r>
    </w:p>
    <w:p w14:paraId="6756FC1A" w14:textId="77777777" w:rsidR="0015439F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>krwawienie w miejscu wstrzyknięcia</w:t>
      </w:r>
    </w:p>
    <w:p w14:paraId="0A8099BC" w14:textId="553EDAA6" w:rsidR="00417D1C" w:rsidRPr="00D4571A" w:rsidRDefault="00417D1C" w:rsidP="0015439F">
      <w:pPr>
        <w:pStyle w:val="NormalnyWeb"/>
        <w:numPr>
          <w:ilvl w:val="0"/>
          <w:numId w:val="18"/>
        </w:numPr>
        <w:spacing w:line="276" w:lineRule="auto"/>
      </w:pPr>
      <w:r w:rsidRPr="00D4571A">
        <w:t xml:space="preserve">zaczerwienienie oka </w:t>
      </w:r>
    </w:p>
    <w:p w14:paraId="1F934865" w14:textId="77777777" w:rsidR="0015439F" w:rsidRDefault="00417D1C" w:rsidP="0015439F">
      <w:pPr>
        <w:pStyle w:val="NormalnyWeb"/>
        <w:spacing w:line="276" w:lineRule="auto"/>
        <w:rPr>
          <w:i/>
          <w:iCs/>
        </w:rPr>
      </w:pPr>
      <w:r w:rsidRPr="00D4571A">
        <w:rPr>
          <w:b/>
          <w:bCs/>
        </w:rPr>
        <w:t xml:space="preserve">Niezbyt częste działania niepożądane </w:t>
      </w:r>
      <w:r w:rsidRPr="00D4571A">
        <w:rPr>
          <w:i/>
          <w:iCs/>
        </w:rPr>
        <w:t>(mogą wystąpić nie częściej niż u 1 na 100 osób):</w:t>
      </w:r>
    </w:p>
    <w:p w14:paraId="63FDB5C8" w14:textId="7DAE377A" w:rsidR="00D4571A" w:rsidRPr="00D4571A" w:rsidRDefault="00417D1C" w:rsidP="0015439F">
      <w:pPr>
        <w:pStyle w:val="NormalnyWeb"/>
        <w:numPr>
          <w:ilvl w:val="0"/>
          <w:numId w:val="22"/>
        </w:numPr>
        <w:spacing w:line="276" w:lineRule="auto"/>
      </w:pPr>
      <w:r w:rsidRPr="00D4571A">
        <w:t>uogólnione reakcje alergiczne (nadwrażliwość)</w:t>
      </w:r>
      <w:r w:rsidR="00D4571A" w:rsidRPr="00D4571A">
        <w:t xml:space="preserve">. Zgłaszano reakcje alergiczne, takie jak wysypka, swędzenie (świąd), pokrzywka, a także kilka przypadków ciężkiej alergii (reakcje anafilaktyczne /rzekomoanafilaktyczne). </w:t>
      </w:r>
    </w:p>
    <w:p w14:paraId="7E313150" w14:textId="77777777" w:rsidR="0015439F" w:rsidRDefault="00417D1C" w:rsidP="00760F5A">
      <w:pPr>
        <w:pStyle w:val="NormalnyWeb"/>
        <w:numPr>
          <w:ilvl w:val="0"/>
          <w:numId w:val="22"/>
        </w:numPr>
        <w:spacing w:line="276" w:lineRule="auto"/>
      </w:pPr>
      <w:r w:rsidRPr="00D4571A">
        <w:t>ciężkie zapalenie lub zakażenie wnętrza oka (zapalenie wnętrza gałki ocznej</w:t>
      </w:r>
      <w:r w:rsidR="0015439F">
        <w:t xml:space="preserve"> </w:t>
      </w:r>
      <w:r w:rsidRPr="00D4571A">
        <w:t>zapalenie tęczówki lub innych części oka (zapalenie tęczówki, zapalenie błony naczyniowej oka, zapalenie tęczówki i ciała rzęskowego, rozbłyski w komorze przedniej)</w:t>
      </w:r>
    </w:p>
    <w:p w14:paraId="6C08B11B" w14:textId="16957188" w:rsidR="0015439F" w:rsidRDefault="00417D1C" w:rsidP="00760F5A">
      <w:pPr>
        <w:pStyle w:val="NormalnyWeb"/>
        <w:numPr>
          <w:ilvl w:val="0"/>
          <w:numId w:val="22"/>
        </w:numPr>
        <w:spacing w:line="276" w:lineRule="auto"/>
      </w:pPr>
      <w:r w:rsidRPr="00D4571A">
        <w:t>zaburzenia czucia w oku</w:t>
      </w:r>
    </w:p>
    <w:p w14:paraId="1F385210" w14:textId="77777777" w:rsidR="0015439F" w:rsidRDefault="00417D1C" w:rsidP="0015439F">
      <w:pPr>
        <w:pStyle w:val="NormalnyWeb"/>
        <w:numPr>
          <w:ilvl w:val="0"/>
          <w:numId w:val="22"/>
        </w:numPr>
        <w:spacing w:line="276" w:lineRule="auto"/>
      </w:pPr>
      <w:r w:rsidRPr="00D4571A">
        <w:t>podrażnienie powieki</w:t>
      </w:r>
    </w:p>
    <w:p w14:paraId="626732BE" w14:textId="77777777" w:rsidR="0015439F" w:rsidRDefault="00417D1C" w:rsidP="0015439F">
      <w:pPr>
        <w:pStyle w:val="NormalnyWeb"/>
        <w:numPr>
          <w:ilvl w:val="0"/>
          <w:numId w:val="22"/>
        </w:numPr>
        <w:spacing w:line="276" w:lineRule="auto"/>
      </w:pPr>
      <w:r w:rsidRPr="00D4571A">
        <w:t xml:space="preserve">obrzęk przedniej warstwy gałki ocznej (rogówki) </w:t>
      </w:r>
    </w:p>
    <w:p w14:paraId="044C1EFF" w14:textId="77777777" w:rsidR="0015439F" w:rsidRDefault="00417D1C" w:rsidP="0015439F">
      <w:pPr>
        <w:pStyle w:val="NormalnyWeb"/>
        <w:spacing w:line="276" w:lineRule="auto"/>
        <w:ind w:left="720"/>
        <w:rPr>
          <w:i/>
          <w:iCs/>
        </w:rPr>
      </w:pPr>
      <w:r w:rsidRPr="0015439F">
        <w:rPr>
          <w:b/>
          <w:bCs/>
        </w:rPr>
        <w:t xml:space="preserve">Rzadkie działania niepożądane </w:t>
      </w:r>
      <w:r w:rsidRPr="0015439F">
        <w:rPr>
          <w:i/>
          <w:iCs/>
        </w:rPr>
        <w:t xml:space="preserve">(mogą wystąpić nie częściej niż u 1 na 1000 osób): </w:t>
      </w:r>
    </w:p>
    <w:p w14:paraId="6E2AB156" w14:textId="77777777" w:rsidR="0015439F" w:rsidRDefault="00417D1C" w:rsidP="0015439F">
      <w:pPr>
        <w:pStyle w:val="NormalnyWeb"/>
        <w:numPr>
          <w:ilvl w:val="0"/>
          <w:numId w:val="25"/>
        </w:numPr>
        <w:spacing w:line="276" w:lineRule="auto"/>
      </w:pPr>
      <w:r w:rsidRPr="00D4571A">
        <w:t>ślepota</w:t>
      </w:r>
    </w:p>
    <w:p w14:paraId="48870395" w14:textId="77777777" w:rsidR="0015439F" w:rsidRDefault="00417D1C" w:rsidP="0015439F">
      <w:pPr>
        <w:pStyle w:val="NormalnyWeb"/>
        <w:numPr>
          <w:ilvl w:val="0"/>
          <w:numId w:val="25"/>
        </w:numPr>
        <w:spacing w:line="276" w:lineRule="auto"/>
      </w:pPr>
      <w:r w:rsidRPr="00D4571A">
        <w:t>zmętnienie soczewki z powodu urazu (zaćma urazowa)</w:t>
      </w:r>
    </w:p>
    <w:p w14:paraId="7092B578" w14:textId="77777777" w:rsidR="0015439F" w:rsidRDefault="00417D1C" w:rsidP="0015439F">
      <w:pPr>
        <w:pStyle w:val="NormalnyWeb"/>
        <w:numPr>
          <w:ilvl w:val="0"/>
          <w:numId w:val="25"/>
        </w:numPr>
        <w:spacing w:line="276" w:lineRule="auto"/>
      </w:pPr>
      <w:r w:rsidRPr="00D4571A">
        <w:t xml:space="preserve">zapalenie substancji przypominającej żel, znajdującej się wewnątrz oka </w:t>
      </w:r>
    </w:p>
    <w:p w14:paraId="56BA46DB" w14:textId="51381BE3" w:rsidR="00417D1C" w:rsidRPr="00D4571A" w:rsidRDefault="00417D1C" w:rsidP="0015439F">
      <w:pPr>
        <w:pStyle w:val="NormalnyWeb"/>
        <w:numPr>
          <w:ilvl w:val="0"/>
          <w:numId w:val="25"/>
        </w:numPr>
        <w:spacing w:line="276" w:lineRule="auto"/>
      </w:pPr>
      <w:r w:rsidRPr="00D4571A">
        <w:t>wysięk ropny w przedniej komorze oka</w:t>
      </w:r>
    </w:p>
    <w:p w14:paraId="433D1FEB" w14:textId="4A1E4B46" w:rsidR="00417D1C" w:rsidRPr="00D4571A" w:rsidRDefault="00417D1C" w:rsidP="0015439F">
      <w:pPr>
        <w:pStyle w:val="NormalnyWeb"/>
        <w:spacing w:line="276" w:lineRule="auto"/>
      </w:pPr>
      <w:r w:rsidRPr="00D4571A">
        <w:t xml:space="preserve">W badaniach klinicznych zaobserwowano zwiększenie częstości występowania krwawienia z małych naczyń krwionośnych w zewnętrznych warstwach oka (krwotoku spojówkowego) u pacjentów z wAMD przyjmujących leki przeciwzakrzepowe. </w:t>
      </w:r>
    </w:p>
    <w:p w14:paraId="1AFE447A" w14:textId="77777777" w:rsidR="00417D1C" w:rsidRPr="00D4571A" w:rsidRDefault="00417D1C" w:rsidP="0015439F">
      <w:pPr>
        <w:pStyle w:val="NormalnyWeb"/>
        <w:spacing w:line="276" w:lineRule="auto"/>
      </w:pPr>
      <w:r w:rsidRPr="00D4571A">
        <w:t xml:space="preserve">Ogólnoustrojowe stosowanie inhibitorów VEGF, substancji podobnych do zawartych w leku Eylea, wiąże się z potencjalnym ryzykiem tworzenia się zakrzepów blokujących naczynia krwionośne (tętnicze epizody zakrzepowo-zatorowe), które mogą prowadzić do zawału serca lub udaru mózgu. Istnieje teoretyczne ryzyko wystąpienia takiego epizodu po iniekcji leku Eylea do oka. </w:t>
      </w:r>
    </w:p>
    <w:p w14:paraId="2795C873" w14:textId="77777777" w:rsidR="00417D1C" w:rsidRPr="00D4571A" w:rsidRDefault="00417D1C" w:rsidP="0015439F">
      <w:pPr>
        <w:pStyle w:val="NormalnyWeb"/>
        <w:spacing w:line="276" w:lineRule="auto"/>
      </w:pPr>
      <w:r w:rsidRPr="00D4571A">
        <w:t xml:space="preserve">Jak w przypadku wszystkich białek terapeutycznych, istnieje ryzyko reakcji immunologicznych (tworzenie przeciwciał) przeciwko lekowi Eylea. </w:t>
      </w:r>
    </w:p>
    <w:p w14:paraId="00AB49B1" w14:textId="77777777" w:rsidR="00315F27" w:rsidRPr="00D4571A" w:rsidRDefault="00315F27" w:rsidP="0015439F">
      <w:pPr>
        <w:pStyle w:val="Nagwek2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53A477A0" w14:textId="69ABD8DB" w:rsidR="0093221D" w:rsidRPr="00D4571A" w:rsidRDefault="0093221D" w:rsidP="0015439F">
      <w:pPr>
        <w:pStyle w:val="Nagwek2"/>
        <w:spacing w:line="276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D4571A">
        <w:rPr>
          <w:rFonts w:ascii="Times New Roman" w:hAnsi="Times New Roman" w:cs="Times New Roman"/>
          <w:sz w:val="24"/>
          <w:szCs w:val="24"/>
        </w:rPr>
        <w:t>Ryzyko</w:t>
      </w:r>
      <w:r w:rsidRPr="00D457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4571A">
        <w:rPr>
          <w:rFonts w:ascii="Times New Roman" w:hAnsi="Times New Roman" w:cs="Times New Roman"/>
          <w:sz w:val="24"/>
          <w:szCs w:val="24"/>
        </w:rPr>
        <w:t>zaniechania</w:t>
      </w:r>
      <w:r w:rsidRPr="00D4571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571A">
        <w:rPr>
          <w:rFonts w:ascii="Times New Roman" w:hAnsi="Times New Roman" w:cs="Times New Roman"/>
          <w:spacing w:val="-2"/>
          <w:sz w:val="24"/>
          <w:szCs w:val="24"/>
        </w:rPr>
        <w:t>leczenia:</w:t>
      </w:r>
    </w:p>
    <w:p w14:paraId="678E1448" w14:textId="55AE9BD9" w:rsidR="0093221D" w:rsidRPr="00D4571A" w:rsidRDefault="0093221D" w:rsidP="0015439F">
      <w:pPr>
        <w:pStyle w:val="Tekstpodstawowy"/>
        <w:spacing w:before="26"/>
        <w:ind w:right="600"/>
        <w:rPr>
          <w:rFonts w:ascii="Times New Roman" w:hAnsi="Times New Roman" w:cs="Times New Roman"/>
        </w:rPr>
      </w:pPr>
      <w:r w:rsidRPr="00D4571A">
        <w:rPr>
          <w:rFonts w:ascii="Times New Roman" w:hAnsi="Times New Roman" w:cs="Times New Roman"/>
        </w:rPr>
        <w:t>Leczenie można w</w:t>
      </w:r>
      <w:r w:rsidRPr="00D4571A">
        <w:rPr>
          <w:rFonts w:ascii="Times New Roman" w:hAnsi="Times New Roman" w:cs="Times New Roman"/>
          <w:spacing w:val="-5"/>
        </w:rPr>
        <w:t xml:space="preserve"> </w:t>
      </w:r>
      <w:r w:rsidRPr="00D4571A">
        <w:rPr>
          <w:rFonts w:ascii="Times New Roman" w:hAnsi="Times New Roman" w:cs="Times New Roman"/>
        </w:rPr>
        <w:t>dowolnym momencie przerwać. Należy jednak pamiętać, że w przypadku takich chorób jak AMD, czy naczyniowe choroby siatkówki przebiegające z obrzękiem plamki, choroba ma charakter postępujący, a zmiany przez nią wywołane są w większości przypadków nieodwracalne i mogą prowadzić do</w:t>
      </w:r>
      <w:r w:rsidRPr="00D4571A">
        <w:rPr>
          <w:rFonts w:ascii="Times New Roman" w:hAnsi="Times New Roman" w:cs="Times New Roman"/>
          <w:spacing w:val="-6"/>
        </w:rPr>
        <w:t xml:space="preserve"> </w:t>
      </w:r>
      <w:r w:rsidRPr="00D4571A">
        <w:rPr>
          <w:rFonts w:ascii="Times New Roman" w:hAnsi="Times New Roman" w:cs="Times New Roman"/>
        </w:rPr>
        <w:t>znacznego upośledzenia</w:t>
      </w:r>
      <w:r w:rsidRPr="00D4571A">
        <w:rPr>
          <w:rFonts w:ascii="Times New Roman" w:hAnsi="Times New Roman" w:cs="Times New Roman"/>
          <w:spacing w:val="40"/>
        </w:rPr>
        <w:t xml:space="preserve"> </w:t>
      </w:r>
      <w:r w:rsidRPr="00D4571A">
        <w:rPr>
          <w:rFonts w:ascii="Times New Roman" w:hAnsi="Times New Roman" w:cs="Times New Roman"/>
        </w:rPr>
        <w:t>widzenia aż do</w:t>
      </w:r>
      <w:r w:rsidRPr="00D4571A">
        <w:rPr>
          <w:rFonts w:ascii="Times New Roman" w:hAnsi="Times New Roman" w:cs="Times New Roman"/>
          <w:spacing w:val="-2"/>
        </w:rPr>
        <w:t xml:space="preserve"> </w:t>
      </w:r>
      <w:r w:rsidRPr="00D4571A">
        <w:rPr>
          <w:rFonts w:ascii="Times New Roman" w:hAnsi="Times New Roman" w:cs="Times New Roman"/>
        </w:rPr>
        <w:t>całkowitej jego utraty.</w:t>
      </w:r>
    </w:p>
    <w:p w14:paraId="6D504A7C" w14:textId="14FC89D4" w:rsidR="0015439F" w:rsidRDefault="0015439F">
      <w:pPr>
        <w:suppressAutoHyphens/>
        <w:rPr>
          <w:b/>
          <w:bCs/>
        </w:rPr>
      </w:pPr>
    </w:p>
    <w:p w14:paraId="0238E0F1" w14:textId="77777777" w:rsidR="00C624C9" w:rsidRDefault="00C624C9" w:rsidP="0015439F">
      <w:pPr>
        <w:spacing w:line="276" w:lineRule="auto"/>
        <w:rPr>
          <w:b/>
          <w:bCs/>
        </w:rPr>
      </w:pPr>
    </w:p>
    <w:p w14:paraId="4E0DD4D0" w14:textId="77777777" w:rsidR="00C624C9" w:rsidRDefault="00C624C9" w:rsidP="0015439F">
      <w:pPr>
        <w:spacing w:line="276" w:lineRule="auto"/>
        <w:rPr>
          <w:b/>
          <w:bCs/>
        </w:rPr>
      </w:pPr>
    </w:p>
    <w:p w14:paraId="13C9CA65" w14:textId="03617D3A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Lekarz wyjaśnił mi na czym polega podanie leku </w:t>
      </w:r>
      <w:r w:rsidR="006D4CBC" w:rsidRPr="00D4571A">
        <w:rPr>
          <w:b/>
          <w:bCs/>
        </w:rPr>
        <w:t xml:space="preserve">EYLEA </w:t>
      </w:r>
      <w:r w:rsidRPr="00D4571A">
        <w:rPr>
          <w:b/>
          <w:bCs/>
        </w:rPr>
        <w:t>do ciała szklistego, rozmawialiśmy o zaletach i wadach zabiegu, o ryzyku powikłań z nim związanych i o innych metodach leczenia. Jakkolwiek niemożliwe jest, aby lekarz powiedział mi o wszystkich możliwych komplikacjach, otrzymałem przystępne, zrozumiałe i wyczerpujące odpowiedzi na wszystkie zadane przeze mnie pytania.</w:t>
      </w:r>
    </w:p>
    <w:p w14:paraId="3F6651CB" w14:textId="09075D3A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Podpisując zgodę na iniekcję leku </w:t>
      </w:r>
      <w:r w:rsidR="006D4CBC" w:rsidRPr="00D4571A">
        <w:rPr>
          <w:b/>
          <w:bCs/>
        </w:rPr>
        <w:t>EYLEA</w:t>
      </w:r>
      <w:r w:rsidRPr="00D4571A">
        <w:rPr>
          <w:b/>
          <w:bCs/>
        </w:rPr>
        <w:t>, jednocześnie oświadczam, że przeczytałam</w:t>
      </w:r>
      <w:r w:rsidR="006D4CBC" w:rsidRPr="00D4571A">
        <w:rPr>
          <w:b/>
          <w:bCs/>
        </w:rPr>
        <w:t xml:space="preserve"> </w:t>
      </w:r>
      <w:r w:rsidRPr="00D4571A">
        <w:rPr>
          <w:b/>
          <w:bCs/>
        </w:rPr>
        <w:t>/</w:t>
      </w:r>
      <w:r w:rsidR="006D4CBC" w:rsidRPr="00D4571A">
        <w:rPr>
          <w:b/>
          <w:bCs/>
        </w:rPr>
        <w:t xml:space="preserve"> </w:t>
      </w:r>
      <w:r w:rsidRPr="00D4571A">
        <w:rPr>
          <w:b/>
          <w:bCs/>
        </w:rPr>
        <w:t xml:space="preserve">przeczytałem tekst niniejszej informacji lub został mi on przeczytany, w pełni go rozumiem, zdaję sobie sprawę z korzyści, ryzyka i możliwości komplikacji związanych z zabiegiem. </w:t>
      </w:r>
    </w:p>
    <w:p w14:paraId="535CAF10" w14:textId="192DFDEB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Jestem świadomy/-a i rozumiem, iż jest to wyrażenie zgody na zastosowanie u mnie terapii lekiem o nazwie </w:t>
      </w:r>
      <w:r w:rsidR="006D4CBC" w:rsidRPr="00D4571A">
        <w:rPr>
          <w:b/>
          <w:bCs/>
        </w:rPr>
        <w:t>EYLEA</w:t>
      </w:r>
      <w:r w:rsidRPr="00D4571A">
        <w:rPr>
          <w:b/>
          <w:bCs/>
        </w:rPr>
        <w:t xml:space="preserve">. </w:t>
      </w:r>
    </w:p>
    <w:p w14:paraId="02B24452" w14:textId="77777777" w:rsidR="00C80047" w:rsidRPr="00D4571A" w:rsidRDefault="00603787" w:rsidP="0015439F">
      <w:pPr>
        <w:pStyle w:val="Tekstpodstawowy"/>
        <w:ind w:right="585"/>
        <w:rPr>
          <w:rFonts w:ascii="Times New Roman" w:hAnsi="Times New Roman" w:cs="Times New Roman"/>
          <w:b/>
          <w:bCs/>
        </w:rPr>
      </w:pPr>
      <w:r w:rsidRPr="00D4571A">
        <w:rPr>
          <w:rFonts w:ascii="Times New Roman" w:hAnsi="Times New Roman" w:cs="Times New Roman"/>
          <w:b/>
          <w:bCs/>
        </w:rPr>
        <w:t>Jestem świadomy/a, że w każdej chwili mogę zaprzestać dalszej części terapii, co</w:t>
      </w:r>
      <w:r w:rsidRPr="00D4571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nie</w:t>
      </w:r>
      <w:r w:rsidRPr="00D4571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będzie skutkować odmówieniem objęcia niezbędną opieką lekarską.</w:t>
      </w:r>
    </w:p>
    <w:p w14:paraId="25B4DC3F" w14:textId="1BF0DF46" w:rsidR="00603787" w:rsidRPr="00D4571A" w:rsidRDefault="00603787" w:rsidP="0015439F">
      <w:pPr>
        <w:pStyle w:val="Tekstpodstawowy"/>
        <w:ind w:right="585"/>
        <w:rPr>
          <w:rFonts w:ascii="Times New Roman" w:hAnsi="Times New Roman" w:cs="Times New Roman"/>
          <w:b/>
          <w:bCs/>
        </w:rPr>
      </w:pPr>
      <w:r w:rsidRPr="00D4571A">
        <w:rPr>
          <w:rFonts w:ascii="Times New Roman" w:hAnsi="Times New Roman" w:cs="Times New Roman"/>
          <w:b/>
          <w:bCs/>
        </w:rPr>
        <w:t>Oświadczam, że</w:t>
      </w:r>
      <w:r w:rsidRPr="00D4571A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przyjmuję do wiadomości, że</w:t>
      </w:r>
      <w:r w:rsidRPr="00D4571A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każdy zabieg pociąga za sobą ryzyko powikłań (w tym poważnych), które mogą wystąpić nawet przy zachowaniu najwyższych standardów w zakresie wiedzy, umiejętności i opieki medycznej. Oświadczam, że mam pełną świadomość niemożności udzielenia mi gwarancji uniknięcia ryzyka i/lub powikłań mogących wyniknąć z planowanego zabiegu operacyjnego lub</w:t>
      </w:r>
      <w:r w:rsidRPr="00D4571A">
        <w:rPr>
          <w:rFonts w:ascii="Times New Roman" w:hAnsi="Times New Roman" w:cs="Times New Roman"/>
          <w:b/>
          <w:bCs/>
          <w:spacing w:val="-1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użycia materiałów medycznych. Oświadczam, że</w:t>
      </w:r>
      <w:r w:rsidRPr="00D4571A">
        <w:rPr>
          <w:rFonts w:ascii="Times New Roman" w:hAnsi="Times New Roman" w:cs="Times New Roman"/>
          <w:b/>
          <w:bCs/>
          <w:spacing w:val="-10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zostałam/em poinformowana/y</w:t>
      </w:r>
      <w:r w:rsidRPr="00D4571A">
        <w:rPr>
          <w:rFonts w:ascii="Times New Roman" w:hAnsi="Times New Roman" w:cs="Times New Roman"/>
          <w:b/>
          <w:bCs/>
          <w:spacing w:val="40"/>
        </w:rPr>
        <w:t xml:space="preserve"> </w:t>
      </w:r>
      <w:r w:rsidRPr="00D4571A">
        <w:rPr>
          <w:rFonts w:ascii="Times New Roman" w:hAnsi="Times New Roman" w:cs="Times New Roman"/>
          <w:b/>
          <w:bCs/>
        </w:rPr>
        <w:t>o obecnym stanie mojego zdrowia, aktualnym rozpoznaniu, rodzaju znieczulenia, przebiegu znieczulenia, ryzyku, korzyściach, powikłaniach.</w:t>
      </w:r>
    </w:p>
    <w:p w14:paraId="267211CA" w14:textId="6A57B837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 xml:space="preserve">Zostałam poinformowana, że administratorem moich danych osobowych będzie zakład opieki zdrowotnej, w którym prowadzona będzie terapia lekiem </w:t>
      </w:r>
      <w:r w:rsidR="006D4CBC" w:rsidRPr="00D4571A">
        <w:rPr>
          <w:b/>
          <w:bCs/>
        </w:rPr>
        <w:t>EYLEA</w:t>
      </w:r>
      <w:r w:rsidRPr="00D4571A">
        <w:rPr>
          <w:b/>
          <w:bCs/>
        </w:rPr>
        <w:t>.</w:t>
      </w:r>
    </w:p>
    <w:p w14:paraId="01212F01" w14:textId="77777777" w:rsidR="00603787" w:rsidRPr="00D4571A" w:rsidRDefault="00603787" w:rsidP="0015439F">
      <w:pPr>
        <w:spacing w:line="276" w:lineRule="auto"/>
        <w:rPr>
          <w:b/>
          <w:bCs/>
        </w:rPr>
      </w:pPr>
    </w:p>
    <w:p w14:paraId="7114EAD0" w14:textId="0B5378E7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>Imię i nazwisko pacjenta (drukowanymi literami):____________________________</w:t>
      </w:r>
      <w:r w:rsidR="00315F27" w:rsidRPr="00D4571A">
        <w:rPr>
          <w:b/>
          <w:bCs/>
        </w:rPr>
        <w:t>_____</w:t>
      </w:r>
    </w:p>
    <w:p w14:paraId="4A812945" w14:textId="3809871C" w:rsidR="00603787" w:rsidRPr="00D4571A" w:rsidRDefault="00603787" w:rsidP="0015439F">
      <w:pPr>
        <w:spacing w:line="276" w:lineRule="auto"/>
        <w:rPr>
          <w:b/>
          <w:bCs/>
        </w:rPr>
      </w:pPr>
      <w:r w:rsidRPr="00D4571A">
        <w:rPr>
          <w:b/>
          <w:bCs/>
        </w:rPr>
        <w:t>Podpis pacjenta ___________________________________________________</w:t>
      </w:r>
      <w:r w:rsidR="00315F27" w:rsidRPr="00D4571A">
        <w:rPr>
          <w:b/>
          <w:bCs/>
        </w:rPr>
        <w:t>___________</w:t>
      </w:r>
    </w:p>
    <w:p w14:paraId="58191D3F" w14:textId="009DD9C6" w:rsidR="00603787" w:rsidRPr="00D4571A" w:rsidRDefault="00603787" w:rsidP="0015439F">
      <w:pPr>
        <w:spacing w:line="276" w:lineRule="auto"/>
      </w:pPr>
      <w:r w:rsidRPr="00D4571A">
        <w:rPr>
          <w:b/>
          <w:bCs/>
        </w:rPr>
        <w:t>Data złożenia podpisu ______________________________________________</w:t>
      </w:r>
      <w:r w:rsidR="00315F27" w:rsidRPr="00D4571A">
        <w:rPr>
          <w:b/>
          <w:bCs/>
        </w:rPr>
        <w:t>___________</w:t>
      </w:r>
    </w:p>
    <w:p w14:paraId="7E51ED3C" w14:textId="2807011F" w:rsidR="00603787" w:rsidRPr="00D4571A" w:rsidRDefault="00603787" w:rsidP="0015439F">
      <w:pPr>
        <w:spacing w:line="276" w:lineRule="auto"/>
      </w:pPr>
    </w:p>
    <w:p w14:paraId="2FC2D283" w14:textId="4CA758C5" w:rsidR="00603787" w:rsidRPr="00D4571A" w:rsidRDefault="00603787" w:rsidP="0015439F">
      <w:pPr>
        <w:spacing w:line="276" w:lineRule="auto"/>
      </w:pPr>
    </w:p>
    <w:p w14:paraId="4B056378" w14:textId="36207C0F" w:rsidR="00DA03A0" w:rsidRPr="00D4571A" w:rsidRDefault="00DA03A0" w:rsidP="0015439F">
      <w:pPr>
        <w:spacing w:line="276" w:lineRule="auto"/>
      </w:pPr>
    </w:p>
    <w:sectPr w:rsidR="00DA03A0" w:rsidRPr="00D4571A" w:rsidSect="00DA03A0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201F" w14:textId="77777777" w:rsidR="00F92402" w:rsidRDefault="00F92402" w:rsidP="004221DE">
      <w:r>
        <w:separator/>
      </w:r>
    </w:p>
  </w:endnote>
  <w:endnote w:type="continuationSeparator" w:id="0">
    <w:p w14:paraId="5F8D25AF" w14:textId="77777777" w:rsidR="00F92402" w:rsidRDefault="00F92402" w:rsidP="004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FA91" w14:textId="77777777" w:rsidR="00F92402" w:rsidRDefault="00F92402" w:rsidP="004221DE">
      <w:r>
        <w:separator/>
      </w:r>
    </w:p>
  </w:footnote>
  <w:footnote w:type="continuationSeparator" w:id="0">
    <w:p w14:paraId="63BCA256" w14:textId="77777777" w:rsidR="00F92402" w:rsidRDefault="00F92402" w:rsidP="0042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73EC" w14:textId="267B26AD" w:rsidR="004221DE" w:rsidRDefault="004221DE">
    <w:pPr>
      <w:pStyle w:val="Nagwek"/>
      <w:rPr>
        <w:rFonts w:hint="eastAsia"/>
      </w:rPr>
    </w:pPr>
    <w:r w:rsidRPr="004552BD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878E3E" wp14:editId="1D570027">
          <wp:extent cx="6120130" cy="5861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5DB"/>
    <w:multiLevelType w:val="hybridMultilevel"/>
    <w:tmpl w:val="DD2C6B0E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7700"/>
    <w:multiLevelType w:val="multilevel"/>
    <w:tmpl w:val="38CE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73CE8"/>
    <w:multiLevelType w:val="multilevel"/>
    <w:tmpl w:val="BF7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C4287"/>
    <w:multiLevelType w:val="hybridMultilevel"/>
    <w:tmpl w:val="CB06611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756D"/>
    <w:multiLevelType w:val="hybridMultilevel"/>
    <w:tmpl w:val="6CC89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4087F"/>
    <w:multiLevelType w:val="multilevel"/>
    <w:tmpl w:val="2D88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74D38"/>
    <w:multiLevelType w:val="hybridMultilevel"/>
    <w:tmpl w:val="80A0FEF8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77DB"/>
    <w:multiLevelType w:val="multilevel"/>
    <w:tmpl w:val="AE045E70"/>
    <w:lvl w:ilvl="0">
      <w:numFmt w:val="bullet"/>
      <w:lvlText w:val="-"/>
      <w:lvlJc w:val="left"/>
      <w:pPr>
        <w:tabs>
          <w:tab w:val="num" w:pos="0"/>
        </w:tabs>
        <w:ind w:left="512" w:hanging="217"/>
      </w:pPr>
      <w:rPr>
        <w:rFonts w:ascii="Arial" w:hAnsi="Arial" w:cs="Arial" w:hint="default"/>
        <w:b w:val="0"/>
        <w:bCs w:val="0"/>
        <w:i w:val="0"/>
        <w:iCs w:val="0"/>
        <w:color w:val="161616"/>
        <w:w w:val="103"/>
        <w:sz w:val="21"/>
        <w:szCs w:val="21"/>
        <w:lang w:val="pl-PL" w:eastAsia="en-US" w:bidi="ar-SA"/>
      </w:rPr>
    </w:lvl>
    <w:lvl w:ilvl="1">
      <w:numFmt w:val="bullet"/>
      <w:lvlText w:val="•"/>
      <w:lvlJc w:val="left"/>
      <w:pPr>
        <w:tabs>
          <w:tab w:val="num" w:pos="0"/>
        </w:tabs>
        <w:ind w:left="1230" w:hanging="358"/>
      </w:pPr>
      <w:rPr>
        <w:rFonts w:ascii="Arial" w:hAnsi="Arial" w:cs="Arial" w:hint="default"/>
        <w:b w:val="0"/>
        <w:bCs w:val="0"/>
        <w:i w:val="0"/>
        <w:iCs w:val="0"/>
        <w:color w:val="161616"/>
        <w:w w:val="110"/>
        <w:sz w:val="21"/>
        <w:szCs w:val="21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391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42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93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844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95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146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97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2E412B8C"/>
    <w:multiLevelType w:val="hybridMultilevel"/>
    <w:tmpl w:val="2406812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94451"/>
    <w:multiLevelType w:val="multilevel"/>
    <w:tmpl w:val="3C4E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AB4852"/>
    <w:multiLevelType w:val="multilevel"/>
    <w:tmpl w:val="6E6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866921"/>
    <w:multiLevelType w:val="hybridMultilevel"/>
    <w:tmpl w:val="D174E7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66E15"/>
    <w:multiLevelType w:val="multilevel"/>
    <w:tmpl w:val="B63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BD5EB5"/>
    <w:multiLevelType w:val="hybridMultilevel"/>
    <w:tmpl w:val="2D44EA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447AE"/>
    <w:multiLevelType w:val="hybridMultilevel"/>
    <w:tmpl w:val="34CE1FE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5191"/>
    <w:multiLevelType w:val="hybridMultilevel"/>
    <w:tmpl w:val="D8BC26B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C7729"/>
    <w:multiLevelType w:val="hybridMultilevel"/>
    <w:tmpl w:val="5BFA031A"/>
    <w:lvl w:ilvl="0" w:tplc="EEF83196">
      <w:numFmt w:val="bullet"/>
      <w:lvlText w:val="•"/>
      <w:lvlJc w:val="left"/>
      <w:pPr>
        <w:ind w:left="108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5C5742"/>
    <w:multiLevelType w:val="multilevel"/>
    <w:tmpl w:val="7452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F0408B"/>
    <w:multiLevelType w:val="hybridMultilevel"/>
    <w:tmpl w:val="19E6FCEC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E7C6C"/>
    <w:multiLevelType w:val="hybridMultilevel"/>
    <w:tmpl w:val="202E08C2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37BFB"/>
    <w:multiLevelType w:val="hybridMultilevel"/>
    <w:tmpl w:val="4ABA3190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D7008"/>
    <w:multiLevelType w:val="hybridMultilevel"/>
    <w:tmpl w:val="3498071A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83AF7"/>
    <w:multiLevelType w:val="hybridMultilevel"/>
    <w:tmpl w:val="B8483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964A6"/>
    <w:multiLevelType w:val="hybridMultilevel"/>
    <w:tmpl w:val="21AC301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77A81"/>
    <w:multiLevelType w:val="hybridMultilevel"/>
    <w:tmpl w:val="FECC8DA6"/>
    <w:lvl w:ilvl="0" w:tplc="EEF83196">
      <w:numFmt w:val="bullet"/>
      <w:lvlText w:val="•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177059">
    <w:abstractNumId w:val="7"/>
  </w:num>
  <w:num w:numId="2" w16cid:durableId="1861776238">
    <w:abstractNumId w:val="4"/>
  </w:num>
  <w:num w:numId="3" w16cid:durableId="1007637158">
    <w:abstractNumId w:val="22"/>
  </w:num>
  <w:num w:numId="4" w16cid:durableId="1052926801">
    <w:abstractNumId w:val="15"/>
  </w:num>
  <w:num w:numId="5" w16cid:durableId="2103528114">
    <w:abstractNumId w:val="13"/>
  </w:num>
  <w:num w:numId="6" w16cid:durableId="345520435">
    <w:abstractNumId w:val="21"/>
  </w:num>
  <w:num w:numId="7" w16cid:durableId="1081099019">
    <w:abstractNumId w:val="14"/>
  </w:num>
  <w:num w:numId="8" w16cid:durableId="199055949">
    <w:abstractNumId w:val="19"/>
  </w:num>
  <w:num w:numId="9" w16cid:durableId="1137255991">
    <w:abstractNumId w:val="11"/>
  </w:num>
  <w:num w:numId="10" w16cid:durableId="741559422">
    <w:abstractNumId w:val="6"/>
  </w:num>
  <w:num w:numId="11" w16cid:durableId="1896745200">
    <w:abstractNumId w:val="10"/>
  </w:num>
  <w:num w:numId="12" w16cid:durableId="1070078274">
    <w:abstractNumId w:val="1"/>
  </w:num>
  <w:num w:numId="13" w16cid:durableId="720783834">
    <w:abstractNumId w:val="2"/>
  </w:num>
  <w:num w:numId="14" w16cid:durableId="1530266125">
    <w:abstractNumId w:val="12"/>
  </w:num>
  <w:num w:numId="15" w16cid:durableId="1725712888">
    <w:abstractNumId w:val="9"/>
  </w:num>
  <w:num w:numId="16" w16cid:durableId="1574849232">
    <w:abstractNumId w:val="17"/>
  </w:num>
  <w:num w:numId="17" w16cid:durableId="1271007080">
    <w:abstractNumId w:val="5"/>
  </w:num>
  <w:num w:numId="18" w16cid:durableId="189924334">
    <w:abstractNumId w:val="18"/>
  </w:num>
  <w:num w:numId="19" w16cid:durableId="1590769716">
    <w:abstractNumId w:val="20"/>
  </w:num>
  <w:num w:numId="20" w16cid:durableId="203563850">
    <w:abstractNumId w:val="0"/>
  </w:num>
  <w:num w:numId="21" w16cid:durableId="199510953">
    <w:abstractNumId w:val="16"/>
  </w:num>
  <w:num w:numId="22" w16cid:durableId="1266957987">
    <w:abstractNumId w:val="8"/>
  </w:num>
  <w:num w:numId="23" w16cid:durableId="822353974">
    <w:abstractNumId w:val="24"/>
  </w:num>
  <w:num w:numId="24" w16cid:durableId="1741948678">
    <w:abstractNumId w:val="3"/>
  </w:num>
  <w:num w:numId="25" w16cid:durableId="2059174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928"/>
    <w:rsid w:val="00013062"/>
    <w:rsid w:val="0012796E"/>
    <w:rsid w:val="00151144"/>
    <w:rsid w:val="0015439F"/>
    <w:rsid w:val="00207345"/>
    <w:rsid w:val="002225A5"/>
    <w:rsid w:val="00315F27"/>
    <w:rsid w:val="003D35B8"/>
    <w:rsid w:val="00417D1C"/>
    <w:rsid w:val="004221DE"/>
    <w:rsid w:val="0044222D"/>
    <w:rsid w:val="004B668E"/>
    <w:rsid w:val="00530F5F"/>
    <w:rsid w:val="0054532C"/>
    <w:rsid w:val="005B0373"/>
    <w:rsid w:val="00603787"/>
    <w:rsid w:val="00614061"/>
    <w:rsid w:val="006247B5"/>
    <w:rsid w:val="00693511"/>
    <w:rsid w:val="006D4CBC"/>
    <w:rsid w:val="00856928"/>
    <w:rsid w:val="0087035D"/>
    <w:rsid w:val="00873D0C"/>
    <w:rsid w:val="0087564F"/>
    <w:rsid w:val="008B1B74"/>
    <w:rsid w:val="0093221D"/>
    <w:rsid w:val="00C624C9"/>
    <w:rsid w:val="00C80047"/>
    <w:rsid w:val="00CA3F52"/>
    <w:rsid w:val="00D4571A"/>
    <w:rsid w:val="00DA03A0"/>
    <w:rsid w:val="00E136B1"/>
    <w:rsid w:val="00E328B4"/>
    <w:rsid w:val="00F52AE0"/>
    <w:rsid w:val="00F92402"/>
    <w:rsid w:val="00FA45AB"/>
    <w:rsid w:val="00FC1258"/>
    <w:rsid w:val="00FD1591"/>
    <w:rsid w:val="00FF2BC2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FDB5"/>
  <w15:docId w15:val="{9CCB16DD-38A8-0840-9EBB-A0CE5389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D1C"/>
    <w:pPr>
      <w:suppressAutoHyphens w:val="0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Normalny"/>
    <w:link w:val="Nagwek1Znak"/>
    <w:uiPriority w:val="9"/>
    <w:qFormat/>
    <w:rsid w:val="0087035D"/>
    <w:pPr>
      <w:widowControl w:val="0"/>
      <w:suppressAutoHyphens/>
      <w:spacing w:before="91"/>
      <w:ind w:left="519" w:hanging="4"/>
      <w:outlineLvl w:val="0"/>
    </w:pPr>
    <w:rPr>
      <w:rFonts w:ascii="Arial" w:eastAsia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87035D"/>
    <w:pPr>
      <w:widowControl w:val="0"/>
      <w:suppressAutoHyphens/>
      <w:ind w:left="492"/>
      <w:jc w:val="both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ascii="Liberation Serif" w:eastAsia="NSimSun" w:hAnsi="Liberation Serif" w:cs="Arial"/>
      <w:i/>
      <w:iCs/>
      <w:kern w:val="2"/>
      <w:lang w:eastAsia="zh-CN" w:bidi="hi-IN"/>
    </w:rPr>
  </w:style>
  <w:style w:type="paragraph" w:customStyle="1" w:styleId="Indeks">
    <w:name w:val="Indeks"/>
    <w:basedOn w:val="Normalny"/>
    <w:qFormat/>
    <w:pPr>
      <w:suppressLineNumbers/>
      <w:suppressAutoHyphens/>
    </w:pPr>
    <w:rPr>
      <w:rFonts w:ascii="Liberation Serif" w:eastAsia="NSimSun" w:hAnsi="Liberation Serif" w:cs="Arial"/>
      <w:kern w:val="2"/>
    </w:rPr>
  </w:style>
  <w:style w:type="paragraph" w:styleId="Stopka">
    <w:name w:val="footer"/>
    <w:basedOn w:val="Normalny"/>
    <w:link w:val="StopkaZnak"/>
    <w:uiPriority w:val="99"/>
    <w:unhideWhenUsed/>
    <w:rsid w:val="004221DE"/>
    <w:pPr>
      <w:tabs>
        <w:tab w:val="center" w:pos="4536"/>
        <w:tab w:val="right" w:pos="9072"/>
      </w:tabs>
      <w:suppressAutoHyphens/>
    </w:pPr>
    <w:rPr>
      <w:rFonts w:ascii="Liberation Serif" w:eastAsia="NSimSun" w:hAnsi="Liberation Serif" w:cs="Mangal"/>
      <w:kern w:val="2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221DE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87035D"/>
    <w:rPr>
      <w:rFonts w:ascii="Arial" w:eastAsia="Arial" w:hAnsi="Arial"/>
      <w:b/>
      <w:bCs/>
      <w:kern w:val="0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87035D"/>
    <w:rPr>
      <w:rFonts w:ascii="Arial" w:eastAsia="Arial" w:hAnsi="Arial"/>
      <w:b/>
      <w:bCs/>
      <w:kern w:val="0"/>
      <w:sz w:val="23"/>
      <w:szCs w:val="23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87035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1"/>
    <w:qFormat/>
    <w:rsid w:val="00FF2BC2"/>
    <w:pPr>
      <w:widowControl w:val="0"/>
      <w:suppressAutoHyphens/>
      <w:ind w:left="518" w:hanging="143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C80047"/>
    <w:pPr>
      <w:widowControl w:val="0"/>
      <w:suppressAutoHyphens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80047"/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8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2028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Pogrzebielski</dc:creator>
  <dc:description/>
  <cp:lastModifiedBy>Arkadiusz Pogrzebielski</cp:lastModifiedBy>
  <cp:revision>7</cp:revision>
  <dcterms:created xsi:type="dcterms:W3CDTF">2023-03-12T12:13:00Z</dcterms:created>
  <dcterms:modified xsi:type="dcterms:W3CDTF">2023-03-13T23:02:00Z</dcterms:modified>
  <dc:language>pl-PL</dc:language>
</cp:coreProperties>
</file>