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1DB9" w14:textId="77777777" w:rsidR="007A773B" w:rsidRPr="007A773B" w:rsidRDefault="007A773B" w:rsidP="007A773B">
      <w:pPr>
        <w:pStyle w:val="Standard"/>
        <w:rPr>
          <w:rFonts w:ascii="Times New Roman" w:hAnsi="Times New Roman" w:cs="Times New Roman"/>
        </w:rPr>
      </w:pPr>
    </w:p>
    <w:p w14:paraId="7149A087" w14:textId="177DBEB6" w:rsidR="007A773B" w:rsidRPr="007A773B" w:rsidRDefault="007A773B" w:rsidP="007A773B">
      <w:pPr>
        <w:pStyle w:val="Standard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7A773B">
        <w:rPr>
          <w:rFonts w:ascii="Times New Roman" w:hAnsi="Times New Roman" w:cs="Times New Roman"/>
          <w:b/>
          <w:shd w:val="clear" w:color="auto" w:fill="FFFFFF"/>
        </w:rPr>
        <w:t>Uświadomiona zgoda dotycząca stosowania poza zarejestrowanymi wskazaniami medycznymi (off-</w:t>
      </w:r>
      <w:proofErr w:type="spellStart"/>
      <w:r w:rsidRPr="007A773B">
        <w:rPr>
          <w:rFonts w:ascii="Times New Roman" w:hAnsi="Times New Roman" w:cs="Times New Roman"/>
          <w:b/>
          <w:shd w:val="clear" w:color="auto" w:fill="FFFFFF"/>
        </w:rPr>
        <w:t>label</w:t>
      </w:r>
      <w:proofErr w:type="spellEnd"/>
      <w:r w:rsidRPr="007A773B">
        <w:rPr>
          <w:rFonts w:ascii="Times New Roman" w:hAnsi="Times New Roman" w:cs="Times New Roman"/>
          <w:b/>
          <w:shd w:val="clear" w:color="auto" w:fill="FFFFFF"/>
        </w:rPr>
        <w:t xml:space="preserve">) </w:t>
      </w:r>
      <w:r w:rsidRPr="007A773B">
        <w:rPr>
          <w:rFonts w:ascii="Times New Roman" w:hAnsi="Times New Roman" w:cs="Times New Roman"/>
          <w:b/>
          <w:bCs/>
        </w:rPr>
        <w:t>iwermektyny</w:t>
      </w:r>
      <w:r w:rsidRPr="007A773B">
        <w:rPr>
          <w:rFonts w:ascii="Times New Roman" w:hAnsi="Times New Roman" w:cs="Times New Roman"/>
        </w:rPr>
        <w:t xml:space="preserve"> </w:t>
      </w:r>
      <w:r w:rsidRPr="007A773B">
        <w:rPr>
          <w:rFonts w:ascii="Times New Roman" w:hAnsi="Times New Roman" w:cs="Times New Roman"/>
          <w:b/>
          <w:shd w:val="clear" w:color="auto" w:fill="FFFFFF"/>
        </w:rPr>
        <w:t>(</w:t>
      </w:r>
      <w:proofErr w:type="spellStart"/>
      <w:r w:rsidRPr="007A773B">
        <w:rPr>
          <w:rFonts w:ascii="Times New Roman" w:hAnsi="Times New Roman" w:cs="Times New Roman"/>
          <w:b/>
          <w:shd w:val="clear" w:color="auto" w:fill="FFFFFF"/>
        </w:rPr>
        <w:t>Posela</w:t>
      </w:r>
      <w:proofErr w:type="spellEnd"/>
      <w:r w:rsidRPr="007A773B">
        <w:rPr>
          <w:rFonts w:ascii="Times New Roman" w:hAnsi="Times New Roman" w:cs="Times New Roman"/>
          <w:b/>
          <w:shd w:val="clear" w:color="auto" w:fill="FFFFFF"/>
        </w:rPr>
        <w:t>) w leczeniu zakażeń wywołanych przez nużeńce (Demodex)</w:t>
      </w:r>
    </w:p>
    <w:p w14:paraId="5170E8E0" w14:textId="77777777" w:rsidR="007A773B" w:rsidRPr="007A773B" w:rsidRDefault="007A773B" w:rsidP="007A773B">
      <w:pPr>
        <w:pStyle w:val="Standard"/>
        <w:jc w:val="center"/>
        <w:rPr>
          <w:rFonts w:ascii="Times New Roman" w:hAnsi="Times New Roman" w:cs="Times New Roman"/>
        </w:rPr>
      </w:pPr>
    </w:p>
    <w:p w14:paraId="44E189B8" w14:textId="76CE824B" w:rsidR="007A773B" w:rsidRPr="007A773B" w:rsidRDefault="007A773B" w:rsidP="007A773B">
      <w:pPr>
        <w:pStyle w:val="Standard"/>
        <w:rPr>
          <w:rFonts w:ascii="Times New Roman" w:hAnsi="Times New Roman" w:cs="Times New Roman"/>
        </w:rPr>
      </w:pPr>
      <w:r w:rsidRPr="007A773B">
        <w:rPr>
          <w:rFonts w:ascii="Times New Roman" w:hAnsi="Times New Roman" w:cs="Times New Roman"/>
        </w:rPr>
        <w:t xml:space="preserve">Mechanizm działania iwermektyny polega na blokowaniu przekaźnictwa </w:t>
      </w:r>
      <w:r w:rsidR="008402A1">
        <w:rPr>
          <w:rFonts w:ascii="Times New Roman" w:hAnsi="Times New Roman" w:cs="Times New Roman"/>
        </w:rPr>
        <w:t xml:space="preserve">w wybranych </w:t>
      </w:r>
      <w:r w:rsidRPr="007A773B">
        <w:rPr>
          <w:rFonts w:ascii="Times New Roman" w:hAnsi="Times New Roman" w:cs="Times New Roman"/>
        </w:rPr>
        <w:t>synaps</w:t>
      </w:r>
      <w:r w:rsidR="008402A1">
        <w:rPr>
          <w:rFonts w:ascii="Times New Roman" w:hAnsi="Times New Roman" w:cs="Times New Roman"/>
        </w:rPr>
        <w:t>ach</w:t>
      </w:r>
      <w:r w:rsidRPr="007A773B">
        <w:rPr>
          <w:rFonts w:ascii="Times New Roman" w:hAnsi="Times New Roman" w:cs="Times New Roman"/>
        </w:rPr>
        <w:t xml:space="preserve"> nerwow</w:t>
      </w:r>
      <w:r w:rsidR="008402A1">
        <w:rPr>
          <w:rFonts w:ascii="Times New Roman" w:hAnsi="Times New Roman" w:cs="Times New Roman"/>
        </w:rPr>
        <w:t>ych</w:t>
      </w:r>
      <w:r w:rsidRPr="007A773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co </w:t>
      </w:r>
      <w:r w:rsidRPr="007A773B">
        <w:rPr>
          <w:rFonts w:ascii="Times New Roman" w:hAnsi="Times New Roman" w:cs="Times New Roman"/>
        </w:rPr>
        <w:t>powoduj</w:t>
      </w:r>
      <w:r>
        <w:rPr>
          <w:rFonts w:ascii="Times New Roman" w:hAnsi="Times New Roman" w:cs="Times New Roman"/>
        </w:rPr>
        <w:t>e</w:t>
      </w:r>
      <w:r w:rsidRPr="007A773B">
        <w:rPr>
          <w:rFonts w:ascii="Times New Roman" w:hAnsi="Times New Roman" w:cs="Times New Roman"/>
        </w:rPr>
        <w:t xml:space="preserve"> porażenie </w:t>
      </w:r>
      <w:proofErr w:type="spellStart"/>
      <w:r w:rsidRPr="007A773B">
        <w:rPr>
          <w:rFonts w:ascii="Times New Roman" w:hAnsi="Times New Roman" w:cs="Times New Roman"/>
        </w:rPr>
        <w:t>nerwowo-mięśniowe</w:t>
      </w:r>
      <w:proofErr w:type="spellEnd"/>
      <w:r w:rsidRPr="007A773B">
        <w:rPr>
          <w:rFonts w:ascii="Times New Roman" w:hAnsi="Times New Roman" w:cs="Times New Roman"/>
        </w:rPr>
        <w:t xml:space="preserve"> i może prowadzi</w:t>
      </w:r>
      <w:r w:rsidR="008402A1">
        <w:rPr>
          <w:rFonts w:ascii="Times New Roman" w:hAnsi="Times New Roman" w:cs="Times New Roman"/>
        </w:rPr>
        <w:t>ć</w:t>
      </w:r>
      <w:r w:rsidRPr="007A773B">
        <w:rPr>
          <w:rFonts w:ascii="Times New Roman" w:hAnsi="Times New Roman" w:cs="Times New Roman"/>
        </w:rPr>
        <w:t xml:space="preserve"> do śmierci niektórych pasożytów - nicieni i stawonogów. Iwermektyna jest nieszkodliwa dla ludzi, ponieważ te specyficzne synapsy</w:t>
      </w:r>
      <w:r w:rsidR="008402A1">
        <w:rPr>
          <w:rFonts w:ascii="Times New Roman" w:hAnsi="Times New Roman" w:cs="Times New Roman"/>
        </w:rPr>
        <w:t xml:space="preserve"> -</w:t>
      </w:r>
      <w:r w:rsidRPr="007A773B">
        <w:rPr>
          <w:rFonts w:ascii="Times New Roman" w:hAnsi="Times New Roman" w:cs="Times New Roman"/>
        </w:rPr>
        <w:t xml:space="preserve"> precyzyjnie synapsy wykorzystujące anion bramkowany glutaminianem albo </w:t>
      </w:r>
      <w:r w:rsidR="008402A1">
        <w:rPr>
          <w:rFonts w:ascii="Times New Roman" w:hAnsi="Times New Roman" w:cs="Times New Roman"/>
        </w:rPr>
        <w:t xml:space="preserve">w ogóle </w:t>
      </w:r>
      <w:r w:rsidRPr="007A773B">
        <w:rPr>
          <w:rFonts w:ascii="Times New Roman" w:hAnsi="Times New Roman" w:cs="Times New Roman"/>
        </w:rPr>
        <w:t>nie występują u ludzi, albo jak kanały jonów chlorkowych bramkowane kwasem γ-aminomasłowym, występują u ludzi tylko w ośrodkowym układzie nerwowym, a iwermektyna tam nie przenika.</w:t>
      </w:r>
    </w:p>
    <w:p w14:paraId="4887C7B1" w14:textId="53E891FB" w:rsidR="007A773B" w:rsidRPr="007A773B" w:rsidRDefault="007A773B" w:rsidP="007A773B">
      <w:pPr>
        <w:pStyle w:val="NormalnyWeb"/>
      </w:pPr>
      <w:r w:rsidRPr="007A773B">
        <w:t xml:space="preserve">Iwermektyna jest lekiem przeciwpasożytniczym o szerokim spektrum działania. Została zarejestrowana do leczenia </w:t>
      </w:r>
      <w:proofErr w:type="spellStart"/>
      <w:r w:rsidRPr="007A773B">
        <w:t>strongyloidozy</w:t>
      </w:r>
      <w:proofErr w:type="spellEnd"/>
      <w:r w:rsidRPr="007A773B">
        <w:t xml:space="preserve"> jelitowej, </w:t>
      </w:r>
      <w:proofErr w:type="spellStart"/>
      <w:r w:rsidRPr="007A773B">
        <w:t>mikrofilaremii</w:t>
      </w:r>
      <w:proofErr w:type="spellEnd"/>
      <w:r w:rsidRPr="007A773B">
        <w:t xml:space="preserve"> u pacjentów z filariozą limfatyczną oraz świerzbu skórnego u ludzi. Badania wykazały, że powoduje ona także śmierć dorosłych nużeńców, nie ma </w:t>
      </w:r>
      <w:r w:rsidR="008402A1">
        <w:t xml:space="preserve">niestety </w:t>
      </w:r>
      <w:r w:rsidRPr="007A773B">
        <w:t>działania jajobójczego. Producent leku</w:t>
      </w:r>
      <w:r w:rsidR="008402A1">
        <w:t xml:space="preserve"> </w:t>
      </w:r>
      <w:proofErr w:type="spellStart"/>
      <w:r w:rsidR="008402A1">
        <w:t>Posela</w:t>
      </w:r>
      <w:proofErr w:type="spellEnd"/>
      <w:r w:rsidR="008402A1">
        <w:t xml:space="preserve"> zawierającego iwermektynę do stosowania </w:t>
      </w:r>
      <w:r w:rsidRPr="007A773B">
        <w:t xml:space="preserve">doustnego nie dokonał jednak </w:t>
      </w:r>
      <w:r w:rsidR="008402A1">
        <w:t xml:space="preserve">jej </w:t>
      </w:r>
      <w:r w:rsidRPr="007A773B">
        <w:t xml:space="preserve">rejestracji do leczenia zakażeń wywołanych przez nużeńce. </w:t>
      </w:r>
      <w:r w:rsidR="008402A1">
        <w:t>Jego podanie jest zatem możliwe wyłącznie na podstawie uświadomionej, dobrowolnej zgody pacjenta (</w:t>
      </w:r>
      <w:r w:rsidR="008402A1" w:rsidRPr="008402A1">
        <w:rPr>
          <w:i/>
          <w:iCs/>
        </w:rPr>
        <w:t>off-</w:t>
      </w:r>
      <w:proofErr w:type="spellStart"/>
      <w:r w:rsidR="008402A1" w:rsidRPr="008402A1">
        <w:rPr>
          <w:i/>
          <w:iCs/>
        </w:rPr>
        <w:t>label</w:t>
      </w:r>
      <w:proofErr w:type="spellEnd"/>
      <w:r w:rsidR="008402A1">
        <w:t>).</w:t>
      </w:r>
    </w:p>
    <w:p w14:paraId="7B8505F8" w14:textId="458BC5AE" w:rsidR="007A773B" w:rsidRPr="007A773B" w:rsidRDefault="007A773B" w:rsidP="007A773B">
      <w:pPr>
        <w:pStyle w:val="Standard"/>
        <w:jc w:val="both"/>
        <w:rPr>
          <w:rFonts w:ascii="Times New Roman" w:hAnsi="Times New Roman" w:cs="Times New Roman"/>
        </w:rPr>
      </w:pPr>
      <w:r w:rsidRPr="007A773B">
        <w:rPr>
          <w:rFonts w:ascii="Times New Roman" w:hAnsi="Times New Roman" w:cs="Times New Roman"/>
        </w:rPr>
        <w:t xml:space="preserve">Opisywane w literaturze skuteczne dawki iwermektyny w leczeniu </w:t>
      </w:r>
      <w:r w:rsidR="008402A1">
        <w:rPr>
          <w:rFonts w:ascii="Times New Roman" w:hAnsi="Times New Roman" w:cs="Times New Roman"/>
        </w:rPr>
        <w:t xml:space="preserve">zakażenia </w:t>
      </w:r>
      <w:r w:rsidRPr="007A773B">
        <w:rPr>
          <w:rFonts w:ascii="Times New Roman" w:hAnsi="Times New Roman" w:cs="Times New Roman"/>
        </w:rPr>
        <w:t>nuż</w:t>
      </w:r>
      <w:r w:rsidR="008402A1">
        <w:rPr>
          <w:rFonts w:ascii="Times New Roman" w:hAnsi="Times New Roman" w:cs="Times New Roman"/>
        </w:rPr>
        <w:t xml:space="preserve">eńcami wynoszą </w:t>
      </w:r>
      <w:r w:rsidRPr="007A773B">
        <w:rPr>
          <w:rFonts w:ascii="Times New Roman" w:hAnsi="Times New Roman" w:cs="Times New Roman"/>
        </w:rPr>
        <w:t xml:space="preserve">200 </w:t>
      </w:r>
      <w:proofErr w:type="spellStart"/>
      <w:r w:rsidRPr="007A773B">
        <w:rPr>
          <w:rFonts w:ascii="Times New Roman" w:hAnsi="Times New Roman" w:cs="Times New Roman"/>
        </w:rPr>
        <w:t>μg</w:t>
      </w:r>
      <w:proofErr w:type="spellEnd"/>
      <w:r w:rsidRPr="007A773B">
        <w:rPr>
          <w:rFonts w:ascii="Times New Roman" w:hAnsi="Times New Roman" w:cs="Times New Roman"/>
        </w:rPr>
        <w:t xml:space="preserve">/kg masy ciała chorego powtarzane 3 lub </w:t>
      </w:r>
      <w:r w:rsidR="008402A1">
        <w:rPr>
          <w:rFonts w:ascii="Times New Roman" w:hAnsi="Times New Roman" w:cs="Times New Roman"/>
        </w:rPr>
        <w:t xml:space="preserve">nawet </w:t>
      </w:r>
      <w:r w:rsidRPr="007A773B">
        <w:rPr>
          <w:rFonts w:ascii="Times New Roman" w:hAnsi="Times New Roman" w:cs="Times New Roman"/>
        </w:rPr>
        <w:t xml:space="preserve">4 razy co </w:t>
      </w:r>
      <w:r w:rsidR="008402A1">
        <w:rPr>
          <w:rFonts w:ascii="Times New Roman" w:hAnsi="Times New Roman" w:cs="Times New Roman"/>
        </w:rPr>
        <w:t>7-</w:t>
      </w:r>
      <w:r w:rsidRPr="007A773B">
        <w:rPr>
          <w:rFonts w:ascii="Times New Roman" w:hAnsi="Times New Roman" w:cs="Times New Roman"/>
        </w:rPr>
        <w:t>1</w:t>
      </w:r>
      <w:r w:rsidR="008402A1">
        <w:rPr>
          <w:rFonts w:ascii="Times New Roman" w:hAnsi="Times New Roman" w:cs="Times New Roman"/>
        </w:rPr>
        <w:t>1</w:t>
      </w:r>
      <w:r w:rsidRPr="007A773B">
        <w:rPr>
          <w:rFonts w:ascii="Times New Roman" w:hAnsi="Times New Roman" w:cs="Times New Roman"/>
        </w:rPr>
        <w:t xml:space="preserve"> dni</w:t>
      </w:r>
      <w:r w:rsidR="008402A1">
        <w:rPr>
          <w:rFonts w:ascii="Times New Roman" w:hAnsi="Times New Roman" w:cs="Times New Roman"/>
        </w:rPr>
        <w:t xml:space="preserve"> (średnio 9 dni)</w:t>
      </w:r>
      <w:r w:rsidRPr="007A773B">
        <w:rPr>
          <w:rFonts w:ascii="Times New Roman" w:hAnsi="Times New Roman" w:cs="Times New Roman"/>
        </w:rPr>
        <w:t xml:space="preserve">. Konieczność powtarzania dawek wynika z faktu, że larwy nużeńca wylęgają się z jaja w ciągu 3-4 dni i rozwijają się w postać dorosłą po około 7 dniach. </w:t>
      </w:r>
      <w:r w:rsidR="008402A1">
        <w:rPr>
          <w:rFonts w:ascii="Times New Roman" w:hAnsi="Times New Roman" w:cs="Times New Roman"/>
        </w:rPr>
        <w:t>P</w:t>
      </w:r>
      <w:r w:rsidRPr="007A773B">
        <w:rPr>
          <w:rFonts w:ascii="Times New Roman" w:hAnsi="Times New Roman" w:cs="Times New Roman"/>
        </w:rPr>
        <w:t xml:space="preserve">o podaniu pojedynczej </w:t>
      </w:r>
      <w:r w:rsidR="008402A1">
        <w:rPr>
          <w:rFonts w:ascii="Times New Roman" w:hAnsi="Times New Roman" w:cs="Times New Roman"/>
        </w:rPr>
        <w:t xml:space="preserve">doustnej skutecznej </w:t>
      </w:r>
      <w:r w:rsidRPr="007A773B">
        <w:rPr>
          <w:rFonts w:ascii="Times New Roman" w:hAnsi="Times New Roman" w:cs="Times New Roman"/>
        </w:rPr>
        <w:t xml:space="preserve">dawki </w:t>
      </w:r>
      <w:r w:rsidR="008402A1">
        <w:rPr>
          <w:rFonts w:ascii="Times New Roman" w:hAnsi="Times New Roman" w:cs="Times New Roman"/>
        </w:rPr>
        <w:t xml:space="preserve">leku </w:t>
      </w:r>
      <w:r w:rsidRPr="007A773B">
        <w:rPr>
          <w:rFonts w:ascii="Times New Roman" w:hAnsi="Times New Roman" w:cs="Times New Roman"/>
        </w:rPr>
        <w:t xml:space="preserve">stężenie </w:t>
      </w:r>
      <w:r w:rsidR="008402A1">
        <w:rPr>
          <w:rFonts w:ascii="Times New Roman" w:hAnsi="Times New Roman" w:cs="Times New Roman"/>
        </w:rPr>
        <w:t>iwerme</w:t>
      </w:r>
      <w:r w:rsidR="00C558D3">
        <w:rPr>
          <w:rFonts w:ascii="Times New Roman" w:hAnsi="Times New Roman" w:cs="Times New Roman"/>
        </w:rPr>
        <w:t>k</w:t>
      </w:r>
      <w:r w:rsidR="008402A1">
        <w:rPr>
          <w:rFonts w:ascii="Times New Roman" w:hAnsi="Times New Roman" w:cs="Times New Roman"/>
        </w:rPr>
        <w:t xml:space="preserve">tyny </w:t>
      </w:r>
      <w:r w:rsidRPr="007A773B">
        <w:rPr>
          <w:rFonts w:ascii="Times New Roman" w:hAnsi="Times New Roman" w:cs="Times New Roman"/>
        </w:rPr>
        <w:t xml:space="preserve">w osoczu krwi spada do połowy 36 godzin </w:t>
      </w:r>
      <w:r w:rsidR="00C558D3">
        <w:rPr>
          <w:rFonts w:ascii="Times New Roman" w:hAnsi="Times New Roman" w:cs="Times New Roman"/>
        </w:rPr>
        <w:t>p</w:t>
      </w:r>
      <w:r w:rsidRPr="007A773B">
        <w:rPr>
          <w:rFonts w:ascii="Times New Roman" w:hAnsi="Times New Roman" w:cs="Times New Roman"/>
        </w:rPr>
        <w:t>o podani</w:t>
      </w:r>
      <w:r w:rsidR="00C558D3">
        <w:rPr>
          <w:rFonts w:ascii="Times New Roman" w:hAnsi="Times New Roman" w:cs="Times New Roman"/>
        </w:rPr>
        <w:t>u dawki</w:t>
      </w:r>
      <w:r w:rsidRPr="007A773B">
        <w:rPr>
          <w:rFonts w:ascii="Times New Roman" w:hAnsi="Times New Roman" w:cs="Times New Roman"/>
        </w:rPr>
        <w:t>.</w:t>
      </w:r>
    </w:p>
    <w:p w14:paraId="06CBBC2C" w14:textId="77777777" w:rsidR="00C558D3" w:rsidRDefault="00C558D3" w:rsidP="007A773B">
      <w:pPr>
        <w:pStyle w:val="Standard"/>
        <w:rPr>
          <w:rFonts w:ascii="Times New Roman" w:hAnsi="Times New Roman" w:cs="Times New Roman"/>
        </w:rPr>
      </w:pPr>
    </w:p>
    <w:p w14:paraId="20D721D0" w14:textId="4FC6A7CE" w:rsidR="007A773B" w:rsidRPr="007A773B" w:rsidRDefault="007A773B" w:rsidP="007A773B">
      <w:pPr>
        <w:pStyle w:val="Standard"/>
        <w:rPr>
          <w:rFonts w:ascii="Times New Roman" w:hAnsi="Times New Roman" w:cs="Times New Roman"/>
        </w:rPr>
      </w:pPr>
      <w:r w:rsidRPr="007A773B">
        <w:rPr>
          <w:rFonts w:ascii="Times New Roman" w:hAnsi="Times New Roman" w:cs="Times New Roman"/>
        </w:rPr>
        <w:t>Ustalenie dawki na podstawie masy ciała pacjenta: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2"/>
        <w:gridCol w:w="4534"/>
      </w:tblGrid>
      <w:tr w:rsidR="007A773B" w:rsidRPr="007A773B" w14:paraId="6D665747" w14:textId="77777777" w:rsidTr="007A773B">
        <w:tc>
          <w:tcPr>
            <w:tcW w:w="4522" w:type="dxa"/>
          </w:tcPr>
          <w:p w14:paraId="393B9359" w14:textId="77777777" w:rsidR="007A773B" w:rsidRPr="007A773B" w:rsidRDefault="007A773B" w:rsidP="007A773B">
            <w:pPr>
              <w:pStyle w:val="Standard"/>
              <w:rPr>
                <w:rFonts w:ascii="Times New Roman" w:hAnsi="Times New Roman" w:cs="Times New Roman"/>
              </w:rPr>
            </w:pPr>
            <w:r w:rsidRPr="007A773B">
              <w:rPr>
                <w:rFonts w:ascii="Times New Roman" w:hAnsi="Times New Roman" w:cs="Times New Roman"/>
              </w:rPr>
              <w:t xml:space="preserve">MASA CIAŁA (kg) </w:t>
            </w:r>
          </w:p>
        </w:tc>
        <w:tc>
          <w:tcPr>
            <w:tcW w:w="4534" w:type="dxa"/>
          </w:tcPr>
          <w:p w14:paraId="3D908C62" w14:textId="77777777" w:rsidR="007A773B" w:rsidRPr="007A773B" w:rsidRDefault="007A773B" w:rsidP="007A773B">
            <w:pPr>
              <w:pStyle w:val="Standard"/>
              <w:rPr>
                <w:rFonts w:ascii="Times New Roman" w:hAnsi="Times New Roman" w:cs="Times New Roman"/>
              </w:rPr>
            </w:pPr>
            <w:r w:rsidRPr="007A773B">
              <w:rPr>
                <w:rFonts w:ascii="Times New Roman" w:hAnsi="Times New Roman" w:cs="Times New Roman"/>
              </w:rPr>
              <w:t>DAWKA (liczba tabletek 3 mg)</w:t>
            </w:r>
          </w:p>
        </w:tc>
      </w:tr>
      <w:tr w:rsidR="007A773B" w:rsidRPr="007A773B" w14:paraId="713C285A" w14:textId="77777777" w:rsidTr="007A773B">
        <w:tc>
          <w:tcPr>
            <w:tcW w:w="4522" w:type="dxa"/>
          </w:tcPr>
          <w:p w14:paraId="0A2F2A2B" w14:textId="77777777" w:rsidR="007A773B" w:rsidRPr="007A773B" w:rsidRDefault="007A773B" w:rsidP="007A773B">
            <w:pPr>
              <w:pStyle w:val="Standard"/>
              <w:rPr>
                <w:rFonts w:ascii="Times New Roman" w:hAnsi="Times New Roman" w:cs="Times New Roman"/>
              </w:rPr>
            </w:pPr>
            <w:r w:rsidRPr="007A773B">
              <w:rPr>
                <w:rFonts w:ascii="Times New Roman" w:hAnsi="Times New Roman" w:cs="Times New Roman"/>
              </w:rPr>
              <w:t xml:space="preserve">15 do 24 </w:t>
            </w:r>
          </w:p>
        </w:tc>
        <w:tc>
          <w:tcPr>
            <w:tcW w:w="4534" w:type="dxa"/>
          </w:tcPr>
          <w:p w14:paraId="4E717256" w14:textId="77777777" w:rsidR="007A773B" w:rsidRPr="007A773B" w:rsidRDefault="007A773B" w:rsidP="007A773B">
            <w:pPr>
              <w:pStyle w:val="Standard"/>
              <w:rPr>
                <w:rFonts w:ascii="Times New Roman" w:hAnsi="Times New Roman" w:cs="Times New Roman"/>
              </w:rPr>
            </w:pPr>
            <w:r w:rsidRPr="007A773B">
              <w:rPr>
                <w:rFonts w:ascii="Times New Roman" w:hAnsi="Times New Roman" w:cs="Times New Roman"/>
              </w:rPr>
              <w:t>1</w:t>
            </w:r>
          </w:p>
        </w:tc>
      </w:tr>
      <w:tr w:rsidR="007A773B" w:rsidRPr="007A773B" w14:paraId="75459A53" w14:textId="77777777" w:rsidTr="007A773B">
        <w:tc>
          <w:tcPr>
            <w:tcW w:w="4522" w:type="dxa"/>
          </w:tcPr>
          <w:p w14:paraId="2BE5001B" w14:textId="77777777" w:rsidR="007A773B" w:rsidRPr="007A773B" w:rsidRDefault="007A773B" w:rsidP="007A773B">
            <w:pPr>
              <w:pStyle w:val="Standard"/>
              <w:rPr>
                <w:rFonts w:ascii="Times New Roman" w:hAnsi="Times New Roman" w:cs="Times New Roman"/>
              </w:rPr>
            </w:pPr>
            <w:r w:rsidRPr="007A773B">
              <w:rPr>
                <w:rFonts w:ascii="Times New Roman" w:hAnsi="Times New Roman" w:cs="Times New Roman"/>
              </w:rPr>
              <w:t xml:space="preserve">25 do 35 </w:t>
            </w:r>
          </w:p>
        </w:tc>
        <w:tc>
          <w:tcPr>
            <w:tcW w:w="4534" w:type="dxa"/>
          </w:tcPr>
          <w:p w14:paraId="0B41C595" w14:textId="77777777" w:rsidR="007A773B" w:rsidRPr="007A773B" w:rsidRDefault="007A773B" w:rsidP="007A773B">
            <w:pPr>
              <w:pStyle w:val="Standard"/>
              <w:rPr>
                <w:rFonts w:ascii="Times New Roman" w:hAnsi="Times New Roman" w:cs="Times New Roman"/>
              </w:rPr>
            </w:pPr>
            <w:r w:rsidRPr="007A773B">
              <w:rPr>
                <w:rFonts w:ascii="Times New Roman" w:hAnsi="Times New Roman" w:cs="Times New Roman"/>
              </w:rPr>
              <w:t>2</w:t>
            </w:r>
          </w:p>
        </w:tc>
      </w:tr>
      <w:tr w:rsidR="007A773B" w:rsidRPr="007A773B" w14:paraId="57616329" w14:textId="77777777" w:rsidTr="007A773B">
        <w:tc>
          <w:tcPr>
            <w:tcW w:w="4522" w:type="dxa"/>
          </w:tcPr>
          <w:p w14:paraId="0A3E6102" w14:textId="77777777" w:rsidR="007A773B" w:rsidRPr="007A773B" w:rsidRDefault="007A773B" w:rsidP="007A773B">
            <w:pPr>
              <w:pStyle w:val="Standard"/>
              <w:rPr>
                <w:rFonts w:ascii="Times New Roman" w:hAnsi="Times New Roman" w:cs="Times New Roman"/>
              </w:rPr>
            </w:pPr>
            <w:r w:rsidRPr="007A773B">
              <w:rPr>
                <w:rFonts w:ascii="Times New Roman" w:hAnsi="Times New Roman" w:cs="Times New Roman"/>
              </w:rPr>
              <w:t xml:space="preserve">36 do 50 </w:t>
            </w:r>
          </w:p>
        </w:tc>
        <w:tc>
          <w:tcPr>
            <w:tcW w:w="4534" w:type="dxa"/>
          </w:tcPr>
          <w:p w14:paraId="161C5123" w14:textId="77777777" w:rsidR="007A773B" w:rsidRPr="007A773B" w:rsidRDefault="007A773B" w:rsidP="007A773B">
            <w:pPr>
              <w:pStyle w:val="Standard"/>
              <w:rPr>
                <w:rFonts w:ascii="Times New Roman" w:hAnsi="Times New Roman" w:cs="Times New Roman"/>
              </w:rPr>
            </w:pPr>
            <w:r w:rsidRPr="007A773B">
              <w:rPr>
                <w:rFonts w:ascii="Times New Roman" w:hAnsi="Times New Roman" w:cs="Times New Roman"/>
              </w:rPr>
              <w:t>3</w:t>
            </w:r>
          </w:p>
        </w:tc>
      </w:tr>
      <w:tr w:rsidR="007A773B" w:rsidRPr="007A773B" w14:paraId="0DA1FA4F" w14:textId="77777777" w:rsidTr="007A773B">
        <w:tc>
          <w:tcPr>
            <w:tcW w:w="4522" w:type="dxa"/>
          </w:tcPr>
          <w:p w14:paraId="4E26059E" w14:textId="77777777" w:rsidR="007A773B" w:rsidRPr="007A773B" w:rsidRDefault="007A773B" w:rsidP="007A773B">
            <w:pPr>
              <w:pStyle w:val="Standard"/>
              <w:rPr>
                <w:rFonts w:ascii="Times New Roman" w:hAnsi="Times New Roman" w:cs="Times New Roman"/>
              </w:rPr>
            </w:pPr>
            <w:r w:rsidRPr="007A773B">
              <w:rPr>
                <w:rFonts w:ascii="Times New Roman" w:hAnsi="Times New Roman" w:cs="Times New Roman"/>
              </w:rPr>
              <w:t xml:space="preserve">51 do 65 </w:t>
            </w:r>
          </w:p>
        </w:tc>
        <w:tc>
          <w:tcPr>
            <w:tcW w:w="4534" w:type="dxa"/>
          </w:tcPr>
          <w:p w14:paraId="23B2638E" w14:textId="77777777" w:rsidR="007A773B" w:rsidRPr="007A773B" w:rsidRDefault="007A773B" w:rsidP="007A773B">
            <w:pPr>
              <w:pStyle w:val="Standard"/>
              <w:rPr>
                <w:rFonts w:ascii="Times New Roman" w:hAnsi="Times New Roman" w:cs="Times New Roman"/>
              </w:rPr>
            </w:pPr>
            <w:r w:rsidRPr="007A773B">
              <w:rPr>
                <w:rFonts w:ascii="Times New Roman" w:hAnsi="Times New Roman" w:cs="Times New Roman"/>
              </w:rPr>
              <w:t>4</w:t>
            </w:r>
          </w:p>
        </w:tc>
      </w:tr>
      <w:tr w:rsidR="007A773B" w:rsidRPr="007A773B" w14:paraId="4D6DEC37" w14:textId="77777777" w:rsidTr="007A773B">
        <w:tc>
          <w:tcPr>
            <w:tcW w:w="4522" w:type="dxa"/>
          </w:tcPr>
          <w:p w14:paraId="1A0C5343" w14:textId="77777777" w:rsidR="007A773B" w:rsidRPr="007A773B" w:rsidRDefault="007A773B" w:rsidP="007A773B">
            <w:pPr>
              <w:pStyle w:val="Standard"/>
              <w:rPr>
                <w:rFonts w:ascii="Times New Roman" w:hAnsi="Times New Roman" w:cs="Times New Roman"/>
              </w:rPr>
            </w:pPr>
            <w:r w:rsidRPr="007A773B">
              <w:rPr>
                <w:rFonts w:ascii="Times New Roman" w:hAnsi="Times New Roman" w:cs="Times New Roman"/>
              </w:rPr>
              <w:t xml:space="preserve">66 do 79 </w:t>
            </w:r>
          </w:p>
        </w:tc>
        <w:tc>
          <w:tcPr>
            <w:tcW w:w="4534" w:type="dxa"/>
          </w:tcPr>
          <w:p w14:paraId="65E2EB68" w14:textId="77777777" w:rsidR="007A773B" w:rsidRPr="007A773B" w:rsidRDefault="007A773B" w:rsidP="007A773B">
            <w:pPr>
              <w:pStyle w:val="Standard"/>
              <w:rPr>
                <w:rFonts w:ascii="Times New Roman" w:hAnsi="Times New Roman" w:cs="Times New Roman"/>
              </w:rPr>
            </w:pPr>
            <w:r w:rsidRPr="007A773B">
              <w:rPr>
                <w:rFonts w:ascii="Times New Roman" w:hAnsi="Times New Roman" w:cs="Times New Roman"/>
              </w:rPr>
              <w:t>5</w:t>
            </w:r>
          </w:p>
        </w:tc>
      </w:tr>
      <w:tr w:rsidR="007A773B" w:rsidRPr="007A773B" w14:paraId="7A8B3CCC" w14:textId="77777777" w:rsidTr="007A773B">
        <w:tc>
          <w:tcPr>
            <w:tcW w:w="4522" w:type="dxa"/>
          </w:tcPr>
          <w:p w14:paraId="0D0BE85A" w14:textId="77777777" w:rsidR="007A773B" w:rsidRPr="007A773B" w:rsidRDefault="007A773B" w:rsidP="007A773B">
            <w:pPr>
              <w:pStyle w:val="Standard"/>
              <w:rPr>
                <w:rFonts w:ascii="Times New Roman" w:hAnsi="Times New Roman" w:cs="Times New Roman"/>
              </w:rPr>
            </w:pPr>
            <w:r w:rsidRPr="007A773B">
              <w:rPr>
                <w:rFonts w:ascii="Times New Roman" w:hAnsi="Times New Roman" w:cs="Times New Roman"/>
              </w:rPr>
              <w:t xml:space="preserve">≥ 80 </w:t>
            </w:r>
          </w:p>
        </w:tc>
        <w:tc>
          <w:tcPr>
            <w:tcW w:w="4534" w:type="dxa"/>
          </w:tcPr>
          <w:p w14:paraId="1CDD8D87" w14:textId="77777777" w:rsidR="007A773B" w:rsidRPr="007A773B" w:rsidRDefault="007A773B" w:rsidP="007A773B">
            <w:pPr>
              <w:pStyle w:val="Standard"/>
              <w:rPr>
                <w:rFonts w:ascii="Times New Roman" w:hAnsi="Times New Roman" w:cs="Times New Roman"/>
              </w:rPr>
            </w:pPr>
            <w:r w:rsidRPr="007A773B">
              <w:rPr>
                <w:rFonts w:ascii="Times New Roman" w:hAnsi="Times New Roman" w:cs="Times New Roman"/>
              </w:rPr>
              <w:t>6</w:t>
            </w:r>
          </w:p>
        </w:tc>
      </w:tr>
    </w:tbl>
    <w:p w14:paraId="3E81C8CE" w14:textId="00A14B87" w:rsidR="00C558D3" w:rsidRPr="007A773B" w:rsidRDefault="00C558D3" w:rsidP="00C558D3">
      <w:pPr>
        <w:pStyle w:val="Standard"/>
        <w:rPr>
          <w:rFonts w:ascii="Times New Roman" w:hAnsi="Times New Roman" w:cs="Times New Roman"/>
        </w:rPr>
      </w:pPr>
      <w:r w:rsidRPr="007A773B">
        <w:rPr>
          <w:rFonts w:ascii="Times New Roman" w:hAnsi="Times New Roman" w:cs="Times New Roman"/>
        </w:rPr>
        <w:t xml:space="preserve">Zalecaną dawkę 200 mikrogramów iwermektyny na kg masy ciała </w:t>
      </w:r>
      <w:r>
        <w:rPr>
          <w:rFonts w:ascii="Times New Roman" w:hAnsi="Times New Roman" w:cs="Times New Roman"/>
        </w:rPr>
        <w:t xml:space="preserve">(konieczna liczba tabletek wynika z tabeli) </w:t>
      </w:r>
      <w:r w:rsidRPr="007A773B">
        <w:rPr>
          <w:rFonts w:ascii="Times New Roman" w:hAnsi="Times New Roman" w:cs="Times New Roman"/>
        </w:rPr>
        <w:t xml:space="preserve">przyjmuje się na raz doustnie na pusty żołądek, popijając ją wodą. Dawkę można przyjmować o dowolnej porze dnia, ale nie należy przyjmować posiłku w ciągu 2 godz. </w:t>
      </w:r>
      <w:r>
        <w:rPr>
          <w:rFonts w:ascii="Times New Roman" w:hAnsi="Times New Roman" w:cs="Times New Roman"/>
        </w:rPr>
        <w:t>p</w:t>
      </w:r>
      <w:r w:rsidRPr="007A773B">
        <w:rPr>
          <w:rFonts w:ascii="Times New Roman" w:hAnsi="Times New Roman" w:cs="Times New Roman"/>
        </w:rPr>
        <w:t xml:space="preserve">rzed przyjęciem leku ani 2 godz. po jego podaniu. </w:t>
      </w:r>
    </w:p>
    <w:p w14:paraId="3DD5649E" w14:textId="77777777" w:rsidR="00C558D3" w:rsidRPr="007A773B" w:rsidRDefault="00C558D3" w:rsidP="007A773B">
      <w:pPr>
        <w:pStyle w:val="Standard"/>
        <w:rPr>
          <w:rFonts w:ascii="Times New Roman" w:hAnsi="Times New Roman" w:cs="Times New Roman"/>
        </w:rPr>
      </w:pPr>
    </w:p>
    <w:p w14:paraId="349C3E66" w14:textId="77777777" w:rsidR="007A773B" w:rsidRPr="007A773B" w:rsidRDefault="007A773B" w:rsidP="007A773B">
      <w:pPr>
        <w:pStyle w:val="Standard"/>
        <w:rPr>
          <w:rFonts w:ascii="Times New Roman" w:hAnsi="Times New Roman" w:cs="Times New Roman"/>
        </w:rPr>
      </w:pPr>
      <w:r w:rsidRPr="007A773B">
        <w:rPr>
          <w:rFonts w:ascii="Times New Roman" w:hAnsi="Times New Roman" w:cs="Times New Roman"/>
        </w:rPr>
        <w:t>Nie określono bezpieczeństwa stosowania leku u dzieci o masie ciała &lt;15 kg. Nie ustalono skuteczności ani schematu dawkowania iwermektyny u pacjentów z upośledzoną odpornością.</w:t>
      </w:r>
    </w:p>
    <w:p w14:paraId="0AF1D5DC" w14:textId="77777777" w:rsidR="007A773B" w:rsidRPr="007A773B" w:rsidRDefault="007A773B" w:rsidP="007A773B">
      <w:pPr>
        <w:pStyle w:val="Standard"/>
        <w:rPr>
          <w:rFonts w:ascii="Times New Roman" w:hAnsi="Times New Roman" w:cs="Times New Roman"/>
        </w:rPr>
      </w:pPr>
      <w:r w:rsidRPr="007A773B">
        <w:rPr>
          <w:rFonts w:ascii="Times New Roman" w:hAnsi="Times New Roman" w:cs="Times New Roman"/>
        </w:rPr>
        <w:t xml:space="preserve">Stosowanie leku jest przeciwwskazane u osób ze znaną nadwrażliwością (alergią) na iwermektynę lub na którąkolwiek substancję pomocniczą.  </w:t>
      </w:r>
    </w:p>
    <w:p w14:paraId="7AA610F7" w14:textId="77777777" w:rsidR="007A773B" w:rsidRPr="007A773B" w:rsidRDefault="007A773B" w:rsidP="007A773B">
      <w:pPr>
        <w:pStyle w:val="Standard"/>
        <w:rPr>
          <w:rFonts w:ascii="Times New Roman" w:hAnsi="Times New Roman" w:cs="Times New Roman"/>
        </w:rPr>
      </w:pPr>
    </w:p>
    <w:p w14:paraId="4FE5CED6" w14:textId="2EFE51B0" w:rsidR="007A773B" w:rsidRPr="007A773B" w:rsidRDefault="007A773B" w:rsidP="007A773B">
      <w:pPr>
        <w:pStyle w:val="Standard"/>
        <w:rPr>
          <w:rFonts w:ascii="Times New Roman" w:hAnsi="Times New Roman" w:cs="Times New Roman"/>
        </w:rPr>
      </w:pPr>
      <w:r w:rsidRPr="007A773B">
        <w:rPr>
          <w:rFonts w:ascii="Times New Roman" w:hAnsi="Times New Roman" w:cs="Times New Roman"/>
        </w:rPr>
        <w:t xml:space="preserve">Po podaniu iwermektyny, nasilenie działań niepożądanych jest prawdopodobnie związane z liczbą pasożytów przed leczeniem, zwłaszcza we krwi. U pacjentów, którzy otrzymywali </w:t>
      </w:r>
      <w:r w:rsidRPr="007A773B">
        <w:rPr>
          <w:rFonts w:ascii="Times New Roman" w:hAnsi="Times New Roman" w:cs="Times New Roman"/>
        </w:rPr>
        <w:lastRenderedPageBreak/>
        <w:t xml:space="preserve">doustnie iwermektynę w leczeniu infekcji ogólnoustrojowych działania niepożądane występowały bardzo rzadko (&lt;1%). </w:t>
      </w:r>
    </w:p>
    <w:p w14:paraId="4BD45EBD" w14:textId="77777777" w:rsidR="007A773B" w:rsidRDefault="007A773B" w:rsidP="007A773B">
      <w:pPr>
        <w:pStyle w:val="Standard"/>
        <w:rPr>
          <w:rFonts w:ascii="Times New Roman" w:hAnsi="Times New Roman" w:cs="Times New Roman"/>
        </w:rPr>
      </w:pPr>
    </w:p>
    <w:p w14:paraId="3E5F25D5" w14:textId="2ABDBBA4" w:rsidR="007A773B" w:rsidRPr="007A773B" w:rsidRDefault="007A773B" w:rsidP="007A773B">
      <w:pPr>
        <w:pStyle w:val="Standard"/>
        <w:rPr>
          <w:rFonts w:ascii="Times New Roman" w:hAnsi="Times New Roman" w:cs="Times New Roman"/>
        </w:rPr>
      </w:pPr>
      <w:r w:rsidRPr="007A773B">
        <w:rPr>
          <w:rFonts w:ascii="Times New Roman" w:hAnsi="Times New Roman" w:cs="Times New Roman"/>
        </w:rPr>
        <w:t xml:space="preserve">Działania niepożądane ze strony ośrodkowego układu nerwowego (encefalopatie) zgłaszano rzadko u pacjentów zakażonych dużą liczbą </w:t>
      </w:r>
      <w:proofErr w:type="spellStart"/>
      <w:r w:rsidRPr="007A773B">
        <w:rPr>
          <w:rFonts w:ascii="Times New Roman" w:hAnsi="Times New Roman" w:cs="Times New Roman"/>
        </w:rPr>
        <w:t>mikrofilarii</w:t>
      </w:r>
      <w:proofErr w:type="spellEnd"/>
      <w:r w:rsidRPr="007A773B">
        <w:rPr>
          <w:rFonts w:ascii="Times New Roman" w:hAnsi="Times New Roman" w:cs="Times New Roman"/>
        </w:rPr>
        <w:t xml:space="preserve"> leczonych iwermektyną. Zgłaszano </w:t>
      </w:r>
      <w:proofErr w:type="spellStart"/>
      <w:r w:rsidRPr="007A773B">
        <w:rPr>
          <w:rFonts w:ascii="Times New Roman" w:hAnsi="Times New Roman" w:cs="Times New Roman"/>
        </w:rPr>
        <w:t>przemijająca</w:t>
      </w:r>
      <w:proofErr w:type="spellEnd"/>
      <w:r w:rsidRPr="007A773B">
        <w:rPr>
          <w:rFonts w:ascii="Times New Roman" w:hAnsi="Times New Roman" w:cs="Times New Roman"/>
        </w:rPr>
        <w:t xml:space="preserve">̨ </w:t>
      </w:r>
      <w:proofErr w:type="spellStart"/>
      <w:r w:rsidRPr="007A773B">
        <w:rPr>
          <w:rFonts w:ascii="Times New Roman" w:hAnsi="Times New Roman" w:cs="Times New Roman"/>
        </w:rPr>
        <w:t>hipereozynofilie</w:t>
      </w:r>
      <w:proofErr w:type="spellEnd"/>
      <w:r w:rsidRPr="007A773B">
        <w:rPr>
          <w:rFonts w:ascii="Times New Roman" w:hAnsi="Times New Roman" w:cs="Times New Roman"/>
        </w:rPr>
        <w:t xml:space="preserve">̨, zaburzenia </w:t>
      </w:r>
      <w:proofErr w:type="spellStart"/>
      <w:r w:rsidRPr="007A773B">
        <w:rPr>
          <w:rFonts w:ascii="Times New Roman" w:hAnsi="Times New Roman" w:cs="Times New Roman"/>
        </w:rPr>
        <w:t>czynności</w:t>
      </w:r>
      <w:proofErr w:type="spellEnd"/>
      <w:r w:rsidRPr="007A773B">
        <w:rPr>
          <w:rFonts w:ascii="Times New Roman" w:hAnsi="Times New Roman" w:cs="Times New Roman"/>
        </w:rPr>
        <w:t xml:space="preserve"> </w:t>
      </w:r>
      <w:proofErr w:type="spellStart"/>
      <w:r w:rsidRPr="007A773B">
        <w:rPr>
          <w:rFonts w:ascii="Times New Roman" w:hAnsi="Times New Roman" w:cs="Times New Roman"/>
        </w:rPr>
        <w:t>wątroby</w:t>
      </w:r>
      <w:proofErr w:type="spellEnd"/>
      <w:r w:rsidRPr="007A773B">
        <w:rPr>
          <w:rFonts w:ascii="Times New Roman" w:hAnsi="Times New Roman" w:cs="Times New Roman"/>
        </w:rPr>
        <w:t xml:space="preserve">, w tym ostre zapalenie </w:t>
      </w:r>
      <w:proofErr w:type="spellStart"/>
      <w:r w:rsidRPr="007A773B">
        <w:rPr>
          <w:rFonts w:ascii="Times New Roman" w:hAnsi="Times New Roman" w:cs="Times New Roman"/>
        </w:rPr>
        <w:t>wątroby</w:t>
      </w:r>
      <w:proofErr w:type="spellEnd"/>
      <w:r w:rsidRPr="007A773B">
        <w:rPr>
          <w:rFonts w:ascii="Times New Roman" w:hAnsi="Times New Roman" w:cs="Times New Roman"/>
        </w:rPr>
        <w:t xml:space="preserve">, </w:t>
      </w:r>
      <w:proofErr w:type="spellStart"/>
      <w:r w:rsidRPr="007A773B">
        <w:rPr>
          <w:rFonts w:ascii="Times New Roman" w:hAnsi="Times New Roman" w:cs="Times New Roman"/>
        </w:rPr>
        <w:t>zwiększenie</w:t>
      </w:r>
      <w:proofErr w:type="spellEnd"/>
      <w:r w:rsidRPr="007A773B">
        <w:rPr>
          <w:rFonts w:ascii="Times New Roman" w:hAnsi="Times New Roman" w:cs="Times New Roman"/>
        </w:rPr>
        <w:t xml:space="preserve"> </w:t>
      </w:r>
      <w:proofErr w:type="spellStart"/>
      <w:r w:rsidRPr="007A773B">
        <w:rPr>
          <w:rFonts w:ascii="Times New Roman" w:hAnsi="Times New Roman" w:cs="Times New Roman"/>
        </w:rPr>
        <w:t>aktywności</w:t>
      </w:r>
      <w:proofErr w:type="spellEnd"/>
      <w:r w:rsidRPr="007A773B">
        <w:rPr>
          <w:rFonts w:ascii="Times New Roman" w:hAnsi="Times New Roman" w:cs="Times New Roman"/>
        </w:rPr>
        <w:t xml:space="preserve"> </w:t>
      </w:r>
      <w:proofErr w:type="spellStart"/>
      <w:r w:rsidRPr="007A773B">
        <w:rPr>
          <w:rFonts w:ascii="Times New Roman" w:hAnsi="Times New Roman" w:cs="Times New Roman"/>
        </w:rPr>
        <w:t>enzymów</w:t>
      </w:r>
      <w:proofErr w:type="spellEnd"/>
      <w:r w:rsidRPr="007A773B">
        <w:rPr>
          <w:rFonts w:ascii="Times New Roman" w:hAnsi="Times New Roman" w:cs="Times New Roman"/>
        </w:rPr>
        <w:t xml:space="preserve"> </w:t>
      </w:r>
      <w:proofErr w:type="spellStart"/>
      <w:r w:rsidRPr="007A773B">
        <w:rPr>
          <w:rFonts w:ascii="Times New Roman" w:hAnsi="Times New Roman" w:cs="Times New Roman"/>
        </w:rPr>
        <w:t>wątrobowych</w:t>
      </w:r>
      <w:proofErr w:type="spellEnd"/>
      <w:r w:rsidRPr="007A773B">
        <w:rPr>
          <w:rFonts w:ascii="Times New Roman" w:hAnsi="Times New Roman" w:cs="Times New Roman"/>
        </w:rPr>
        <w:t xml:space="preserve">, hiperbilirubinemię i krwiomocz. Bardzo rzadko opisywano </w:t>
      </w:r>
      <w:proofErr w:type="spellStart"/>
      <w:r w:rsidRPr="007A773B">
        <w:rPr>
          <w:rFonts w:ascii="Times New Roman" w:hAnsi="Times New Roman" w:cs="Times New Roman"/>
        </w:rPr>
        <w:t>równiez</w:t>
      </w:r>
      <w:proofErr w:type="spellEnd"/>
      <w:r w:rsidRPr="007A773B">
        <w:rPr>
          <w:rFonts w:ascii="Times New Roman" w:hAnsi="Times New Roman" w:cs="Times New Roman"/>
        </w:rPr>
        <w:t>̇ martwicę toksyczno-</w:t>
      </w:r>
      <w:proofErr w:type="spellStart"/>
      <w:r w:rsidRPr="007A773B">
        <w:rPr>
          <w:rFonts w:ascii="Times New Roman" w:hAnsi="Times New Roman" w:cs="Times New Roman"/>
        </w:rPr>
        <w:t>rozpływna</w:t>
      </w:r>
      <w:proofErr w:type="spellEnd"/>
      <w:r w:rsidRPr="007A773B">
        <w:rPr>
          <w:rFonts w:ascii="Times New Roman" w:hAnsi="Times New Roman" w:cs="Times New Roman"/>
        </w:rPr>
        <w:t xml:space="preserve">̨ </w:t>
      </w:r>
      <w:proofErr w:type="spellStart"/>
      <w:r w:rsidRPr="007A773B">
        <w:rPr>
          <w:rFonts w:ascii="Times New Roman" w:hAnsi="Times New Roman" w:cs="Times New Roman"/>
        </w:rPr>
        <w:t>naskórka</w:t>
      </w:r>
      <w:proofErr w:type="spellEnd"/>
      <w:r w:rsidRPr="007A773B">
        <w:rPr>
          <w:rFonts w:ascii="Times New Roman" w:hAnsi="Times New Roman" w:cs="Times New Roman"/>
        </w:rPr>
        <w:t xml:space="preserve"> i </w:t>
      </w:r>
      <w:proofErr w:type="spellStart"/>
      <w:r w:rsidRPr="007A773B">
        <w:rPr>
          <w:rFonts w:ascii="Times New Roman" w:hAnsi="Times New Roman" w:cs="Times New Roman"/>
        </w:rPr>
        <w:t>zespół</w:t>
      </w:r>
      <w:proofErr w:type="spellEnd"/>
      <w:r w:rsidRPr="007A773B">
        <w:rPr>
          <w:rFonts w:ascii="Times New Roman" w:hAnsi="Times New Roman" w:cs="Times New Roman"/>
        </w:rPr>
        <w:t xml:space="preserve"> Stevensa- Johnsona. </w:t>
      </w:r>
    </w:p>
    <w:p w14:paraId="633B335E" w14:textId="4D746883" w:rsidR="007A773B" w:rsidRPr="007A773B" w:rsidRDefault="007A773B" w:rsidP="007A773B">
      <w:pPr>
        <w:pStyle w:val="NormalnyWeb"/>
      </w:pPr>
      <w:r w:rsidRPr="007A773B">
        <w:t xml:space="preserve">Działania </w:t>
      </w:r>
      <w:proofErr w:type="spellStart"/>
      <w:r w:rsidRPr="007A773B">
        <w:t>niepożądane</w:t>
      </w:r>
      <w:proofErr w:type="spellEnd"/>
      <w:r w:rsidRPr="007A773B">
        <w:t xml:space="preserve"> w większości przypadków </w:t>
      </w:r>
      <w:proofErr w:type="spellStart"/>
      <w:r w:rsidRPr="007A773B">
        <w:t>sa</w:t>
      </w:r>
      <w:proofErr w:type="spellEnd"/>
      <w:r w:rsidRPr="007A773B">
        <w:t xml:space="preserve">̨ łagodne i przemijające, ale ich </w:t>
      </w:r>
      <w:proofErr w:type="spellStart"/>
      <w:r w:rsidRPr="007A773B">
        <w:t>ciężkośc</w:t>
      </w:r>
      <w:proofErr w:type="spellEnd"/>
      <w:r w:rsidRPr="007A773B">
        <w:t xml:space="preserve">́ </w:t>
      </w:r>
      <w:proofErr w:type="spellStart"/>
      <w:r w:rsidRPr="007A773B">
        <w:t>może</w:t>
      </w:r>
      <w:proofErr w:type="spellEnd"/>
      <w:r w:rsidRPr="007A773B">
        <w:t xml:space="preserve"> </w:t>
      </w:r>
      <w:proofErr w:type="spellStart"/>
      <w:r w:rsidRPr="007A773B">
        <w:t>byc</w:t>
      </w:r>
      <w:proofErr w:type="spellEnd"/>
      <w:r w:rsidRPr="007A773B">
        <w:t xml:space="preserve">́ </w:t>
      </w:r>
      <w:proofErr w:type="spellStart"/>
      <w:r w:rsidRPr="007A773B">
        <w:t>większa</w:t>
      </w:r>
      <w:proofErr w:type="spellEnd"/>
      <w:r w:rsidRPr="007A773B">
        <w:t xml:space="preserve"> u </w:t>
      </w:r>
      <w:proofErr w:type="spellStart"/>
      <w:r w:rsidRPr="007A773B">
        <w:t>pacjentów</w:t>
      </w:r>
      <w:proofErr w:type="spellEnd"/>
      <w:r w:rsidRPr="007A773B">
        <w:t xml:space="preserve"> </w:t>
      </w:r>
      <w:proofErr w:type="spellStart"/>
      <w:r w:rsidRPr="007A773B">
        <w:t>zakażonych</w:t>
      </w:r>
      <w:proofErr w:type="spellEnd"/>
      <w:r w:rsidRPr="007A773B">
        <w:t xml:space="preserve"> </w:t>
      </w:r>
      <w:proofErr w:type="spellStart"/>
      <w:r w:rsidRPr="007A773B">
        <w:t>więcej</w:t>
      </w:r>
      <w:proofErr w:type="spellEnd"/>
      <w:r w:rsidRPr="007A773B">
        <w:t xml:space="preserve"> </w:t>
      </w:r>
      <w:proofErr w:type="spellStart"/>
      <w:r w:rsidRPr="007A773B">
        <w:t>niz</w:t>
      </w:r>
      <w:proofErr w:type="spellEnd"/>
      <w:r w:rsidRPr="007A773B">
        <w:t xml:space="preserve">̇ jednym rodzajem </w:t>
      </w:r>
      <w:proofErr w:type="spellStart"/>
      <w:r w:rsidRPr="007A773B">
        <w:t>pasożytów</w:t>
      </w:r>
      <w:proofErr w:type="spellEnd"/>
      <w:r w:rsidRPr="007A773B">
        <w:t xml:space="preserve">. Do opisywanych działań niepożądanych należą: </w:t>
      </w:r>
      <w:proofErr w:type="spellStart"/>
      <w:r w:rsidRPr="007A773B">
        <w:t>ból</w:t>
      </w:r>
      <w:proofErr w:type="spellEnd"/>
      <w:r w:rsidRPr="007A773B">
        <w:t xml:space="preserve"> </w:t>
      </w:r>
      <w:proofErr w:type="spellStart"/>
      <w:r w:rsidRPr="007A773B">
        <w:t>pleców</w:t>
      </w:r>
      <w:proofErr w:type="spellEnd"/>
      <w:r w:rsidRPr="007A773B">
        <w:t xml:space="preserve"> lub szyi, przekrwienie oczu, krwotoki </w:t>
      </w:r>
      <w:proofErr w:type="spellStart"/>
      <w:r w:rsidRPr="007A773B">
        <w:t>podspojówkowe</w:t>
      </w:r>
      <w:proofErr w:type="spellEnd"/>
      <w:r w:rsidRPr="007A773B">
        <w:t xml:space="preserve">, </w:t>
      </w:r>
      <w:proofErr w:type="spellStart"/>
      <w:r w:rsidRPr="007A773B">
        <w:t>dusznośc</w:t>
      </w:r>
      <w:proofErr w:type="spellEnd"/>
      <w:r w:rsidRPr="007A773B">
        <w:t xml:space="preserve">́, nietrzymanie moczu i (lub) stolca, </w:t>
      </w:r>
      <w:proofErr w:type="spellStart"/>
      <w:r w:rsidRPr="007A773B">
        <w:t>trudności</w:t>
      </w:r>
      <w:proofErr w:type="spellEnd"/>
      <w:r w:rsidRPr="007A773B">
        <w:t xml:space="preserve"> w staniu lub chodzeniu, zmiany stanu psychicznego, </w:t>
      </w:r>
      <w:proofErr w:type="spellStart"/>
      <w:r w:rsidRPr="007A773B">
        <w:t>splątanie</w:t>
      </w:r>
      <w:proofErr w:type="spellEnd"/>
      <w:r w:rsidRPr="007A773B">
        <w:t xml:space="preserve">, letarg, </w:t>
      </w:r>
      <w:proofErr w:type="spellStart"/>
      <w:r w:rsidRPr="007A773B">
        <w:t>otępienie</w:t>
      </w:r>
      <w:proofErr w:type="spellEnd"/>
      <w:r w:rsidRPr="007A773B">
        <w:t xml:space="preserve"> lub </w:t>
      </w:r>
      <w:proofErr w:type="spellStart"/>
      <w:r w:rsidRPr="007A773B">
        <w:t>śpiączka</w:t>
      </w:r>
      <w:proofErr w:type="spellEnd"/>
      <w:r w:rsidRPr="007A773B">
        <w:t xml:space="preserve">, osłabienie, </w:t>
      </w:r>
      <w:proofErr w:type="spellStart"/>
      <w:r w:rsidRPr="007A773B">
        <w:t>bóle</w:t>
      </w:r>
      <w:proofErr w:type="spellEnd"/>
      <w:r w:rsidRPr="007A773B">
        <w:t xml:space="preserve"> brzucha, </w:t>
      </w:r>
      <w:proofErr w:type="spellStart"/>
      <w:r w:rsidRPr="007A773B">
        <w:t>jadłowstręt</w:t>
      </w:r>
      <w:proofErr w:type="spellEnd"/>
      <w:r w:rsidRPr="007A773B">
        <w:t xml:space="preserve">, zaparcia, biegunka, </w:t>
      </w:r>
      <w:proofErr w:type="spellStart"/>
      <w:r w:rsidRPr="007A773B">
        <w:t>nudności</w:t>
      </w:r>
      <w:proofErr w:type="spellEnd"/>
      <w:r w:rsidRPr="007A773B">
        <w:t xml:space="preserve">, wymioty, zawroty głowy, </w:t>
      </w:r>
      <w:proofErr w:type="spellStart"/>
      <w:r w:rsidRPr="007A773B">
        <w:t>sennośc</w:t>
      </w:r>
      <w:proofErr w:type="spellEnd"/>
      <w:r w:rsidRPr="007A773B">
        <w:t xml:space="preserve">́, </w:t>
      </w:r>
      <w:proofErr w:type="spellStart"/>
      <w:r w:rsidRPr="007A773B">
        <w:t>drżenie</w:t>
      </w:r>
      <w:proofErr w:type="spellEnd"/>
      <w:r w:rsidRPr="007A773B">
        <w:t xml:space="preserve">, </w:t>
      </w:r>
      <w:proofErr w:type="spellStart"/>
      <w:r w:rsidRPr="007A773B">
        <w:t>przemijająca</w:t>
      </w:r>
      <w:proofErr w:type="spellEnd"/>
      <w:r w:rsidRPr="007A773B">
        <w:t xml:space="preserve"> </w:t>
      </w:r>
      <w:proofErr w:type="spellStart"/>
      <w:r w:rsidRPr="007A773B">
        <w:t>hipereozynofilia</w:t>
      </w:r>
      <w:proofErr w:type="spellEnd"/>
      <w:r w:rsidRPr="007A773B">
        <w:t xml:space="preserve">, leukopenia lub </w:t>
      </w:r>
      <w:proofErr w:type="spellStart"/>
      <w:r w:rsidRPr="007A773B">
        <w:t>niedokrwistośc</w:t>
      </w:r>
      <w:proofErr w:type="spellEnd"/>
      <w:r w:rsidRPr="007A773B">
        <w:t xml:space="preserve">́ i </w:t>
      </w:r>
      <w:proofErr w:type="spellStart"/>
      <w:r w:rsidRPr="007A773B">
        <w:t>zwiększenie</w:t>
      </w:r>
      <w:proofErr w:type="spellEnd"/>
      <w:r w:rsidRPr="007A773B">
        <w:t xml:space="preserve"> </w:t>
      </w:r>
      <w:proofErr w:type="spellStart"/>
      <w:r w:rsidRPr="007A773B">
        <w:t>aktywności</w:t>
      </w:r>
      <w:proofErr w:type="spellEnd"/>
      <w:r w:rsidRPr="007A773B">
        <w:t xml:space="preserve"> ALAT lub fosfatazy zasadowej. U niektórych pacjentów opisano </w:t>
      </w:r>
      <w:proofErr w:type="spellStart"/>
      <w:r w:rsidRPr="007A773B">
        <w:t>równiez</w:t>
      </w:r>
      <w:proofErr w:type="spellEnd"/>
      <w:r w:rsidRPr="007A773B">
        <w:t xml:space="preserve">̇ nieprawidłowe czucie w oczach, obrzęk powiek, zapalenie przedniego odcinka błony naczyniowej oka, zapalenie spojówek, zapalenie kończyn dolnych, zapalenie rogówki i zapalenie naczyniówki i siatkówki lub zapalenie naczyniówki. </w:t>
      </w:r>
    </w:p>
    <w:p w14:paraId="712E98ED" w14:textId="57152F89" w:rsidR="007A773B" w:rsidRPr="007A773B" w:rsidRDefault="007A773B" w:rsidP="007A773B">
      <w:pPr>
        <w:pStyle w:val="NormalnyWeb"/>
      </w:pPr>
      <w:r w:rsidRPr="007A773B">
        <w:t xml:space="preserve">U </w:t>
      </w:r>
      <w:proofErr w:type="spellStart"/>
      <w:r w:rsidRPr="007A773B">
        <w:t>pacjentów</w:t>
      </w:r>
      <w:proofErr w:type="spellEnd"/>
      <w:r w:rsidRPr="007A773B">
        <w:t xml:space="preserve"> ze świerzbem na początku leczenia można </w:t>
      </w:r>
      <w:proofErr w:type="spellStart"/>
      <w:r w:rsidRPr="007A773B">
        <w:t>zaobserwowac</w:t>
      </w:r>
      <w:proofErr w:type="spellEnd"/>
      <w:r w:rsidRPr="007A773B">
        <w:t xml:space="preserve">́ </w:t>
      </w:r>
      <w:proofErr w:type="spellStart"/>
      <w:r w:rsidRPr="007A773B">
        <w:t>przemijające</w:t>
      </w:r>
      <w:proofErr w:type="spellEnd"/>
      <w:r w:rsidRPr="007A773B">
        <w:t xml:space="preserve"> zaostrzenie </w:t>
      </w:r>
      <w:proofErr w:type="spellStart"/>
      <w:r w:rsidRPr="007A773B">
        <w:t>świądu</w:t>
      </w:r>
      <w:proofErr w:type="spellEnd"/>
      <w:r w:rsidRPr="007A773B">
        <w:t xml:space="preserve">. </w:t>
      </w:r>
    </w:p>
    <w:p w14:paraId="23ADBF00" w14:textId="77777777" w:rsidR="007A773B" w:rsidRPr="007A773B" w:rsidRDefault="007A773B" w:rsidP="007A773B">
      <w:pPr>
        <w:pStyle w:val="NormalnyWeb"/>
      </w:pPr>
      <w:r w:rsidRPr="007A773B">
        <w:rPr>
          <w:shd w:val="clear" w:color="auto" w:fill="FFFFFF"/>
        </w:rPr>
        <w:t xml:space="preserve">Iwermektyna jest zarejestrowana w dermatologii do leczenia trądziku różowatego. W przypadku preparatu do stosowania miejscowego może wystąpić przemijające zaostrzenie objawów trądziku różowatego, prawdopodobnie związane z reakcją na śmierć i rozpad nużeńców, zwykle ustępujące w ciągu tygodnia leczenia. Można się tego spodziewać również w przypadku stosowania iwermektyny ogólnie. </w:t>
      </w:r>
    </w:p>
    <w:p w14:paraId="4E0A0211" w14:textId="2EF8DDE2" w:rsidR="007A773B" w:rsidRPr="007A773B" w:rsidRDefault="007A773B" w:rsidP="007A773B">
      <w:pPr>
        <w:pStyle w:val="Standard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7A773B">
        <w:rPr>
          <w:rFonts w:ascii="Times New Roman" w:hAnsi="Times New Roman" w:cs="Times New Roman"/>
          <w:b/>
          <w:shd w:val="clear" w:color="auto" w:fill="FFFFFF"/>
        </w:rPr>
        <w:t xml:space="preserve">Uświadomiona zgoda dotycząca stosowania poza zarejestrowanymi wskazaniami medycznymi </w:t>
      </w:r>
      <w:r w:rsidRPr="00C13EC1">
        <w:rPr>
          <w:rFonts w:ascii="Times New Roman" w:hAnsi="Times New Roman" w:cs="Times New Roman"/>
          <w:b/>
          <w:bCs/>
        </w:rPr>
        <w:t>iwermektyny</w:t>
      </w:r>
      <w:r w:rsidRPr="007A773B">
        <w:rPr>
          <w:rFonts w:ascii="Times New Roman" w:hAnsi="Times New Roman" w:cs="Times New Roman"/>
        </w:rPr>
        <w:t xml:space="preserve"> </w:t>
      </w:r>
      <w:r w:rsidRPr="007A773B">
        <w:rPr>
          <w:rFonts w:ascii="Times New Roman" w:hAnsi="Times New Roman" w:cs="Times New Roman"/>
          <w:b/>
          <w:shd w:val="clear" w:color="auto" w:fill="FFFFFF"/>
        </w:rPr>
        <w:t>(</w:t>
      </w:r>
      <w:proofErr w:type="spellStart"/>
      <w:r w:rsidRPr="007A773B">
        <w:rPr>
          <w:rFonts w:ascii="Times New Roman" w:hAnsi="Times New Roman" w:cs="Times New Roman"/>
          <w:b/>
          <w:shd w:val="clear" w:color="auto" w:fill="FFFFFF"/>
        </w:rPr>
        <w:t>Posela</w:t>
      </w:r>
      <w:proofErr w:type="spellEnd"/>
      <w:r w:rsidRPr="007A773B">
        <w:rPr>
          <w:rFonts w:ascii="Times New Roman" w:hAnsi="Times New Roman" w:cs="Times New Roman"/>
          <w:b/>
          <w:shd w:val="clear" w:color="auto" w:fill="FFFFFF"/>
        </w:rPr>
        <w:t xml:space="preserve">) w leczeniu zakażeń wywołanych przez nużeńce </w:t>
      </w:r>
    </w:p>
    <w:p w14:paraId="39E41C2B" w14:textId="77777777" w:rsidR="007A773B" w:rsidRPr="007A773B" w:rsidRDefault="007A773B" w:rsidP="007A773B">
      <w:pPr>
        <w:jc w:val="both"/>
        <w:rPr>
          <w:rFonts w:ascii="Times New Roman" w:hAnsi="Times New Roman" w:cs="Times New Roman"/>
          <w:b/>
        </w:rPr>
      </w:pPr>
    </w:p>
    <w:p w14:paraId="0C8A9841" w14:textId="5264B9BF" w:rsidR="007A773B" w:rsidRPr="007A773B" w:rsidRDefault="007A773B" w:rsidP="007A773B">
      <w:pPr>
        <w:jc w:val="both"/>
        <w:rPr>
          <w:rFonts w:ascii="Times New Roman" w:hAnsi="Times New Roman" w:cs="Times New Roman"/>
          <w:b/>
        </w:rPr>
      </w:pPr>
      <w:r w:rsidRPr="007A773B">
        <w:rPr>
          <w:rFonts w:ascii="Times New Roman" w:hAnsi="Times New Roman" w:cs="Times New Roman"/>
          <w:b/>
        </w:rPr>
        <w:t>Lekarz wyjaśnił mi na czym polega leczenie iwermektyn</w:t>
      </w:r>
      <w:r>
        <w:rPr>
          <w:rFonts w:ascii="Times New Roman" w:hAnsi="Times New Roman" w:cs="Times New Roman"/>
          <w:b/>
        </w:rPr>
        <w:t>ą</w:t>
      </w:r>
      <w:r w:rsidRPr="007A773B">
        <w:rPr>
          <w:rFonts w:ascii="Times New Roman" w:hAnsi="Times New Roman" w:cs="Times New Roman"/>
          <w:b/>
        </w:rPr>
        <w:t>, rozmawialiśmy o zaletach i wadach leczenia, o ryzyku powikłań z nim związanych i o innych metodach leczenia. Jakkolwiek niemożliwe jest, aby lekarz powiedział mi o wszystkich możliwych komplikacjach, odpowiedział na moje pytania i jego odpowiedzi mnie satysfakcjonują.</w:t>
      </w:r>
    </w:p>
    <w:p w14:paraId="3BFFA2CC" w14:textId="77777777" w:rsidR="007A773B" w:rsidRPr="007A773B" w:rsidRDefault="007A773B" w:rsidP="007A773B">
      <w:pPr>
        <w:jc w:val="both"/>
        <w:rPr>
          <w:rFonts w:ascii="Times New Roman" w:hAnsi="Times New Roman" w:cs="Times New Roman"/>
          <w:b/>
        </w:rPr>
      </w:pPr>
    </w:p>
    <w:p w14:paraId="591533E4" w14:textId="6E05162C" w:rsidR="007A773B" w:rsidRPr="007A773B" w:rsidRDefault="007A773B" w:rsidP="007A773B">
      <w:pPr>
        <w:jc w:val="both"/>
        <w:rPr>
          <w:rFonts w:ascii="Times New Roman" w:hAnsi="Times New Roman" w:cs="Times New Roman"/>
          <w:b/>
        </w:rPr>
      </w:pPr>
      <w:r w:rsidRPr="007A773B">
        <w:rPr>
          <w:rFonts w:ascii="Times New Roman" w:hAnsi="Times New Roman" w:cs="Times New Roman"/>
          <w:b/>
        </w:rPr>
        <w:t>Podpisując zgodę, jednocześnie oświadczam, że przeczytałam/przeczytałem tekst „Uświadomionej zgody na zastosowanie terapii iwermektyną poza wskazaniami rejestracyjnymi” lub został mi on przeczytany, w pełni go rozumiem, zdaję sobie sprawę z korzyści, ryzyka i możliwości działań niepożądanych. Jestem świadomy/-a i rozumiem, iż jest to wyrażenie zgody na zastosowanie powyższego leku poza wskazaniami rejestracyjnymi. Jestem świadomy/-a, że w każdej chwili mogę zaprzestać dalszej terapii.</w:t>
      </w:r>
    </w:p>
    <w:p w14:paraId="1D748C1F" w14:textId="77777777" w:rsidR="007A773B" w:rsidRPr="007A773B" w:rsidRDefault="007A773B" w:rsidP="007A773B">
      <w:pPr>
        <w:jc w:val="both"/>
        <w:rPr>
          <w:rFonts w:ascii="Times New Roman" w:hAnsi="Times New Roman" w:cs="Times New Roman"/>
          <w:b/>
        </w:rPr>
      </w:pPr>
    </w:p>
    <w:p w14:paraId="1B303005" w14:textId="77777777" w:rsidR="007A773B" w:rsidRPr="007A773B" w:rsidRDefault="007A773B" w:rsidP="007A773B">
      <w:pPr>
        <w:jc w:val="both"/>
        <w:rPr>
          <w:rFonts w:ascii="Times New Roman" w:hAnsi="Times New Roman" w:cs="Times New Roman"/>
          <w:b/>
        </w:rPr>
      </w:pPr>
      <w:r w:rsidRPr="007A773B">
        <w:rPr>
          <w:rFonts w:ascii="Times New Roman" w:hAnsi="Times New Roman" w:cs="Times New Roman"/>
          <w:b/>
        </w:rPr>
        <w:t>Imię i nazwisko pacjenta: ___________________________________</w:t>
      </w:r>
    </w:p>
    <w:p w14:paraId="22AEF07B" w14:textId="77777777" w:rsidR="007A773B" w:rsidRPr="007A773B" w:rsidRDefault="007A773B" w:rsidP="007A773B">
      <w:pPr>
        <w:jc w:val="both"/>
        <w:rPr>
          <w:rFonts w:ascii="Times New Roman" w:hAnsi="Times New Roman" w:cs="Times New Roman"/>
          <w:b/>
        </w:rPr>
      </w:pPr>
      <w:r w:rsidRPr="007A773B">
        <w:rPr>
          <w:rFonts w:ascii="Times New Roman" w:hAnsi="Times New Roman" w:cs="Times New Roman"/>
          <w:b/>
        </w:rPr>
        <w:t>Podpis pacjenta: ___________________________________________</w:t>
      </w:r>
    </w:p>
    <w:p w14:paraId="56211A98" w14:textId="46DB1C83" w:rsidR="00C238D8" w:rsidRPr="007A773B" w:rsidRDefault="007A773B" w:rsidP="00C558D3">
      <w:pPr>
        <w:jc w:val="both"/>
        <w:rPr>
          <w:rFonts w:ascii="Times New Roman" w:hAnsi="Times New Roman" w:cs="Times New Roman"/>
        </w:rPr>
      </w:pPr>
      <w:r w:rsidRPr="007A773B">
        <w:rPr>
          <w:rFonts w:ascii="Times New Roman" w:hAnsi="Times New Roman" w:cs="Times New Roman"/>
          <w:b/>
        </w:rPr>
        <w:t>Data złożenia podpisu: ______________________________________</w:t>
      </w:r>
    </w:p>
    <w:sectPr w:rsidR="00C238D8" w:rsidRPr="007A773B" w:rsidSect="0020190E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9106" w14:textId="77777777" w:rsidR="00274C81" w:rsidRDefault="00274C81" w:rsidP="007A773B">
      <w:pPr>
        <w:rPr>
          <w:rFonts w:hint="eastAsia"/>
        </w:rPr>
      </w:pPr>
      <w:r>
        <w:separator/>
      </w:r>
    </w:p>
  </w:endnote>
  <w:endnote w:type="continuationSeparator" w:id="0">
    <w:p w14:paraId="73842032" w14:textId="77777777" w:rsidR="00274C81" w:rsidRDefault="00274C81" w:rsidP="007A77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4614" w14:textId="77777777" w:rsidR="00274C81" w:rsidRDefault="00274C81" w:rsidP="007A773B">
      <w:pPr>
        <w:rPr>
          <w:rFonts w:hint="eastAsia"/>
        </w:rPr>
      </w:pPr>
      <w:r>
        <w:separator/>
      </w:r>
    </w:p>
  </w:footnote>
  <w:footnote w:type="continuationSeparator" w:id="0">
    <w:p w14:paraId="532A5693" w14:textId="77777777" w:rsidR="00274C81" w:rsidRDefault="00274C81" w:rsidP="007A77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35DD" w14:textId="44E64905" w:rsidR="007A773B" w:rsidRDefault="007A773B">
    <w:pPr>
      <w:pStyle w:val="Nagwek"/>
      <w:rPr>
        <w:rFonts w:hint="eastAsia"/>
      </w:rPr>
    </w:pPr>
    <w:r w:rsidRPr="00B71539">
      <w:rPr>
        <w:noProof/>
      </w:rPr>
      <w:drawing>
        <wp:inline distT="0" distB="0" distL="0" distR="0" wp14:anchorId="518C154A" wp14:editId="1BE69793">
          <wp:extent cx="5756910" cy="547975"/>
          <wp:effectExtent l="0" t="0" r="0" b="0"/>
          <wp:docPr id="1" name="officeArt objec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3B"/>
    <w:rsid w:val="0020190E"/>
    <w:rsid w:val="00274C81"/>
    <w:rsid w:val="003D40A3"/>
    <w:rsid w:val="007A773B"/>
    <w:rsid w:val="008402A1"/>
    <w:rsid w:val="008F5AEB"/>
    <w:rsid w:val="00C13EC1"/>
    <w:rsid w:val="00C238D8"/>
    <w:rsid w:val="00C558D3"/>
    <w:rsid w:val="00C8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9184F"/>
  <w15:chartTrackingRefBased/>
  <w15:docId w15:val="{6508E650-2ECE-FE47-847A-4E7A91CC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73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73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  <w14:ligatures w14:val="none"/>
    </w:rPr>
  </w:style>
  <w:style w:type="paragraph" w:styleId="NormalnyWeb">
    <w:name w:val="Normal (Web)"/>
    <w:basedOn w:val="Normalny"/>
    <w:uiPriority w:val="99"/>
    <w:unhideWhenUsed/>
    <w:rsid w:val="007A773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7A773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773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A773B"/>
    <w:rPr>
      <w:rFonts w:ascii="Liberation Serif" w:eastAsia="NSimSun" w:hAnsi="Liberation Serif" w:cs="Mangal"/>
      <w:kern w:val="3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A773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A773B"/>
    <w:rPr>
      <w:rFonts w:ascii="Liberation Serif" w:eastAsia="NSimSun" w:hAnsi="Liberation Serif" w:cs="Mangal"/>
      <w:kern w:val="3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Pogrzebielski</dc:creator>
  <cp:keywords/>
  <dc:description/>
  <cp:lastModifiedBy>Arkadiusz Pogrzebielski</cp:lastModifiedBy>
  <cp:revision>3</cp:revision>
  <dcterms:created xsi:type="dcterms:W3CDTF">2023-04-06T20:11:00Z</dcterms:created>
  <dcterms:modified xsi:type="dcterms:W3CDTF">2023-04-10T09:37:00Z</dcterms:modified>
</cp:coreProperties>
</file>